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beforeLines="0" w:afterLines="0"/>
      </w:pPr>
      <w:r>
        <w:rPr>
          <w:rFonts w:hint="eastAsia"/>
        </w:rPr>
        <w:t>《名人生命历程解读》课程教学大纲</w:t>
      </w:r>
    </w:p>
    <w:p>
      <w:pPr>
        <w:pStyle w:val="16"/>
        <w:spacing w:beforeLines="0" w:afterLines="0"/>
        <w:rPr>
          <w:rFonts w:cs="Times New Roman"/>
        </w:rPr>
      </w:pPr>
    </w:p>
    <w:tbl>
      <w:tblPr>
        <w:tblStyle w:val="5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3119"/>
        <w:gridCol w:w="1806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课程英文名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ind w:firstLine="630" w:firstLineChars="30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The Interpretation of the Celebrities' Life Course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课程编号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ind w:firstLine="1050" w:firstLineChars="50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C2392004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学分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总学时数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开课学院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马克思主义学院</w:t>
            </w: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开课教研室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原理教研室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面向专业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全校各专业</w:t>
            </w: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开课学期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课程教学网站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ind w:firstLine="840" w:firstLineChars="4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杭州电子科技大学网络教学平台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所属通识选修课模块（通识选修课必填）</w:t>
            </w:r>
          </w:p>
        </w:tc>
        <w:tc>
          <w:tcPr>
            <w:tcW w:w="6663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[</w:t>
            </w:r>
            <w:r>
              <w:rPr>
                <w:rFonts w:hint="eastAsia" w:ascii="宋体" w:hAnsi="宋体"/>
                <w:bCs/>
                <w:szCs w:val="21"/>
              </w:rPr>
              <w:t>√</w:t>
            </w:r>
            <w:r>
              <w:rPr>
                <w:rFonts w:ascii="宋体" w:hAnsi="宋体"/>
                <w:bCs/>
                <w:szCs w:val="21"/>
              </w:rPr>
              <w:t>]1.</w:t>
            </w:r>
            <w:r>
              <w:rPr>
                <w:rFonts w:hint="eastAsia" w:ascii="宋体" w:hAnsi="宋体"/>
                <w:bCs/>
                <w:szCs w:val="21"/>
              </w:rPr>
              <w:t>人文经典与人文修养</w:t>
            </w:r>
            <w:r>
              <w:rPr>
                <w:rFonts w:ascii="宋体" w:hAnsi="宋体"/>
                <w:bCs/>
                <w:szCs w:val="21"/>
              </w:rPr>
              <w:t xml:space="preserve">        [  ]2.</w:t>
            </w:r>
            <w:r>
              <w:rPr>
                <w:rFonts w:hint="eastAsia" w:ascii="宋体" w:hAnsi="宋体"/>
                <w:bCs/>
                <w:szCs w:val="21"/>
              </w:rPr>
              <w:t>文明对话与国际视野</w:t>
            </w:r>
          </w:p>
          <w:p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[  ]3.</w:t>
            </w:r>
            <w:r>
              <w:rPr>
                <w:rFonts w:hint="eastAsia" w:ascii="宋体" w:hAnsi="宋体"/>
                <w:bCs/>
                <w:szCs w:val="21"/>
              </w:rPr>
              <w:t>科技发展与科学精神</w:t>
            </w:r>
            <w:r>
              <w:rPr>
                <w:rFonts w:ascii="宋体" w:hAnsi="宋体"/>
                <w:bCs/>
                <w:szCs w:val="21"/>
              </w:rPr>
              <w:t xml:space="preserve">        [  ]4.</w:t>
            </w:r>
            <w:r>
              <w:rPr>
                <w:rFonts w:hint="eastAsia" w:ascii="宋体" w:hAnsi="宋体"/>
                <w:bCs/>
                <w:szCs w:val="21"/>
              </w:rPr>
              <w:t>社会发展与公民教育</w:t>
            </w:r>
          </w:p>
          <w:p>
            <w:pPr>
              <w:ind w:firstLine="315" w:firstLineChars="150"/>
              <w:rPr>
                <w:rFonts w:ascii="宋体" w:cs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[  ]5.</w:t>
            </w:r>
            <w:r>
              <w:rPr>
                <w:rFonts w:hint="eastAsia" w:ascii="宋体" w:hAnsi="宋体"/>
                <w:bCs/>
                <w:szCs w:val="21"/>
              </w:rPr>
              <w:t>艺术创作与审美体验</w:t>
            </w:r>
          </w:p>
        </w:tc>
      </w:tr>
    </w:tbl>
    <w:p>
      <w:pPr>
        <w:pStyle w:val="13"/>
        <w:spacing w:before="120" w:after="120"/>
        <w:ind w:firstLine="472" w:firstLineChars="196"/>
        <w:rPr>
          <w:b w:val="0"/>
          <w:bCs w:val="0"/>
          <w:color w:val="000000"/>
          <w:szCs w:val="24"/>
        </w:rPr>
      </w:pPr>
      <w:r>
        <w:rPr>
          <w:rFonts w:hint="eastAsia" w:cs="宋体"/>
          <w:sz w:val="24"/>
          <w:szCs w:val="24"/>
        </w:rPr>
        <w:t>一、课程目标</w:t>
      </w:r>
    </w:p>
    <w:p>
      <w:pPr>
        <w:pStyle w:val="13"/>
        <w:ind w:firstLine="525" w:firstLineChars="250"/>
        <w:rPr>
          <w:rFonts w:ascii="宋体"/>
          <w:b w:val="0"/>
          <w:bCs w:val="0"/>
        </w:rPr>
      </w:pPr>
      <w:r>
        <w:rPr>
          <w:rFonts w:hint="eastAsia" w:ascii="宋体" w:hAnsi="宋体"/>
          <w:b w:val="0"/>
          <w:bCs w:val="0"/>
        </w:rPr>
        <w:t>借鉴名人，规划自我。本课程主要为大学生（尤其大一新生）开设，意在帮助他们养成</w:t>
      </w:r>
      <w:r>
        <w:rPr>
          <w:rFonts w:hint="eastAsia" w:ascii="宋体" w:hAnsi="宋体"/>
          <w:b w:val="0"/>
          <w:bCs w:val="0"/>
          <w:color w:val="FF0000"/>
        </w:rPr>
        <w:t>健康有序、向善向上、平和持久、通融自洽</w:t>
      </w:r>
      <w:r>
        <w:rPr>
          <w:rFonts w:hint="eastAsia" w:ascii="宋体" w:hAnsi="宋体"/>
          <w:b w:val="0"/>
          <w:bCs w:val="0"/>
        </w:rPr>
        <w:t>的生活方式，为自主学习与适应社会生活打下坚实的理论基础。课程以点带面，通过追踪古今中外部分名人的生命历程（含生活习惯、价值观、爱情观、生命观等），探讨其背后的生活信念、生命感悟及其生活方式形成的家庭根源与社会根源，总结他们的经验与教训，为学习者提供多姿多彩的生命历程之借鉴。教师讲授与学生研讨相结合，对照名人生活方式的得与失，引导学生反观自身的优势与劣势，调准适合自己的努力方向与生活方式。引导学生学习运用</w:t>
      </w:r>
      <w:r>
        <w:rPr>
          <w:rFonts w:hint="eastAsia" w:ascii="宋体" w:hAnsi="宋体"/>
          <w:b w:val="0"/>
          <w:bCs w:val="0"/>
          <w:color w:val="FF0000"/>
        </w:rPr>
        <w:t>跨学科、多视角</w:t>
      </w:r>
      <w:r>
        <w:rPr>
          <w:rFonts w:hint="eastAsia" w:ascii="宋体" w:hAnsi="宋体"/>
          <w:b w:val="0"/>
          <w:bCs w:val="0"/>
        </w:rPr>
        <w:t>方法，提高综合分析人物的能力。</w:t>
      </w:r>
      <w:r>
        <w:rPr>
          <w:rFonts w:hint="eastAsia" w:ascii="宋体" w:hAnsi="宋体"/>
          <w:b w:val="0"/>
          <w:bCs w:val="0"/>
          <w:color w:val="000000"/>
          <w:szCs w:val="24"/>
        </w:rPr>
        <w:t>通过教学与研讨，以期达成如下目标：</w:t>
      </w:r>
    </w:p>
    <w:p>
      <w:pPr>
        <w:pStyle w:val="13"/>
        <w:ind w:left="1050" w:leftChars="250" w:hanging="525" w:hangingChars="250"/>
        <w:rPr>
          <w:rFonts w:ascii="宋体"/>
          <w:b w:val="0"/>
          <w:bCs w:val="0"/>
        </w:rPr>
      </w:pPr>
      <w:r>
        <w:rPr>
          <w:rFonts w:hint="eastAsia" w:ascii="宋体" w:hAnsi="宋体"/>
          <w:b w:val="0"/>
          <w:bCs w:val="0"/>
        </w:rPr>
        <w:t>（</w:t>
      </w:r>
      <w:r>
        <w:rPr>
          <w:rFonts w:ascii="宋体" w:hAnsi="宋体"/>
          <w:b w:val="0"/>
          <w:bCs w:val="0"/>
        </w:rPr>
        <w:t>1</w:t>
      </w:r>
      <w:r>
        <w:rPr>
          <w:rFonts w:hint="eastAsia" w:ascii="宋体" w:hAnsi="宋体"/>
          <w:b w:val="0"/>
          <w:bCs w:val="0"/>
        </w:rPr>
        <w:t>）学会运用跨学科、多视角的方法，运用</w:t>
      </w:r>
      <w:r>
        <w:rPr>
          <w:rFonts w:hint="eastAsia" w:ascii="宋体" w:hAnsi="宋体"/>
          <w:b w:val="0"/>
          <w:bCs w:val="0"/>
          <w:color w:val="FF0000"/>
        </w:rPr>
        <w:t>辩证思维、</w:t>
      </w:r>
      <w:r>
        <w:rPr>
          <w:rFonts w:hint="eastAsia" w:ascii="宋体" w:hAnsi="宋体"/>
          <w:b w:val="0"/>
          <w:bCs w:val="0"/>
          <w:color w:val="FF0000"/>
          <w:lang w:eastAsia="zh-CN"/>
        </w:rPr>
        <w:t>批判</w:t>
      </w:r>
      <w:r>
        <w:rPr>
          <w:rFonts w:hint="eastAsia" w:ascii="宋体" w:hAnsi="宋体"/>
          <w:b w:val="0"/>
          <w:bCs w:val="0"/>
          <w:color w:val="FF0000"/>
        </w:rPr>
        <w:t>思维</w:t>
      </w:r>
      <w:r>
        <w:rPr>
          <w:rFonts w:hint="eastAsia" w:ascii="宋体" w:hAnsi="宋体"/>
          <w:b w:val="0"/>
          <w:bCs w:val="0"/>
        </w:rPr>
        <w:t>，提高对人物进行综合分析和理性判断的能力。（强支撑课程目标</w:t>
      </w:r>
      <w:r>
        <w:rPr>
          <w:rFonts w:ascii="宋体" w:hAnsi="宋体"/>
          <w:b w:val="0"/>
          <w:bCs w:val="0"/>
        </w:rPr>
        <w:t>5</w:t>
      </w:r>
      <w:r>
        <w:rPr>
          <w:rFonts w:hint="eastAsia" w:ascii="宋体" w:hAnsi="宋体"/>
          <w:b w:val="0"/>
          <w:bCs w:val="0"/>
        </w:rPr>
        <w:t>和</w:t>
      </w:r>
      <w:r>
        <w:rPr>
          <w:rFonts w:ascii="宋体" w:hAnsi="宋体"/>
          <w:b w:val="0"/>
          <w:bCs w:val="0"/>
        </w:rPr>
        <w:t>3</w:t>
      </w:r>
      <w:r>
        <w:rPr>
          <w:rFonts w:hint="eastAsia" w:ascii="宋体" w:hAnsi="宋体"/>
          <w:b w:val="0"/>
          <w:bCs w:val="0"/>
        </w:rPr>
        <w:t>）</w:t>
      </w:r>
    </w:p>
    <w:p>
      <w:pPr>
        <w:pStyle w:val="13"/>
        <w:ind w:left="1050" w:leftChars="250" w:hanging="525" w:hangingChars="250"/>
        <w:rPr>
          <w:rFonts w:ascii="宋体"/>
          <w:b w:val="0"/>
          <w:bCs w:val="0"/>
        </w:rPr>
      </w:pPr>
      <w:r>
        <w:rPr>
          <w:rFonts w:hint="eastAsia" w:ascii="宋体" w:hAnsi="宋体"/>
          <w:b w:val="0"/>
          <w:bCs w:val="0"/>
        </w:rPr>
        <w:t>（</w:t>
      </w:r>
      <w:r>
        <w:rPr>
          <w:rFonts w:ascii="宋体" w:hAnsi="宋体"/>
          <w:b w:val="0"/>
          <w:bCs w:val="0"/>
        </w:rPr>
        <w:t>2</w:t>
      </w:r>
      <w:r>
        <w:rPr>
          <w:rFonts w:hint="eastAsia" w:ascii="宋体" w:hAnsi="宋体"/>
          <w:b w:val="0"/>
          <w:bCs w:val="0"/>
        </w:rPr>
        <w:t>）能透过名人</w:t>
      </w:r>
      <w:r>
        <w:rPr>
          <w:rFonts w:hint="eastAsia"/>
          <w:b w:val="0"/>
          <w:bCs w:val="0"/>
        </w:rPr>
        <w:t>生命历程</w:t>
      </w:r>
      <w:r>
        <w:rPr>
          <w:rFonts w:hint="eastAsia" w:ascii="宋体" w:hAnsi="宋体"/>
          <w:b w:val="0"/>
          <w:bCs w:val="0"/>
        </w:rPr>
        <w:t>，把握其背后的生命动力及其成因，反观自身优势与劣势，</w:t>
      </w:r>
      <w:r>
        <w:rPr>
          <w:rFonts w:hint="eastAsia" w:ascii="宋体" w:hAnsi="宋体"/>
          <w:b w:val="0"/>
          <w:bCs w:val="0"/>
          <w:lang w:eastAsia="zh-CN"/>
        </w:rPr>
        <w:t>提升</w:t>
      </w:r>
      <w:r>
        <w:rPr>
          <w:rFonts w:hint="eastAsia" w:ascii="宋体" w:hAnsi="宋体"/>
          <w:b w:val="0"/>
          <w:bCs w:val="0"/>
          <w:color w:val="FF0000"/>
        </w:rPr>
        <w:t>科学</w:t>
      </w:r>
      <w:r>
        <w:rPr>
          <w:rFonts w:hint="eastAsia" w:ascii="宋体" w:hAnsi="宋体"/>
          <w:b w:val="0"/>
          <w:bCs w:val="0"/>
          <w:color w:val="FF0000"/>
          <w:lang w:eastAsia="zh-CN"/>
        </w:rPr>
        <w:t>素养</w:t>
      </w:r>
      <w:r>
        <w:rPr>
          <w:rFonts w:hint="eastAsia" w:ascii="宋体" w:hAnsi="宋体"/>
          <w:b w:val="0"/>
          <w:bCs w:val="0"/>
        </w:rPr>
        <w:t>、工匠精神。（强支撑课程目标</w:t>
      </w:r>
      <w:r>
        <w:rPr>
          <w:rFonts w:ascii="宋体" w:hAnsi="宋体"/>
          <w:b w:val="0"/>
          <w:bCs w:val="0"/>
        </w:rPr>
        <w:t>3</w:t>
      </w:r>
      <w:r>
        <w:rPr>
          <w:rFonts w:hint="eastAsia" w:ascii="宋体" w:hAnsi="宋体"/>
          <w:b w:val="0"/>
          <w:bCs w:val="0"/>
        </w:rPr>
        <w:t>和</w:t>
      </w:r>
      <w:r>
        <w:rPr>
          <w:rFonts w:ascii="宋体" w:hAnsi="宋体"/>
          <w:b w:val="0"/>
          <w:bCs w:val="0"/>
        </w:rPr>
        <w:t>2</w:t>
      </w:r>
      <w:r>
        <w:rPr>
          <w:rFonts w:hint="eastAsia" w:ascii="宋体" w:hAnsi="宋体"/>
          <w:b w:val="0"/>
          <w:bCs w:val="0"/>
        </w:rPr>
        <w:t>）</w:t>
      </w:r>
    </w:p>
    <w:p>
      <w:pPr>
        <w:pStyle w:val="13"/>
        <w:ind w:left="1050" w:leftChars="250" w:hanging="525" w:hangingChars="250"/>
        <w:rPr>
          <w:rFonts w:ascii="宋体"/>
          <w:b w:val="0"/>
          <w:bCs w:val="0"/>
        </w:rPr>
      </w:pPr>
      <w:r>
        <w:rPr>
          <w:rFonts w:hint="eastAsia" w:ascii="宋体" w:hAnsi="宋体"/>
          <w:b w:val="0"/>
          <w:bCs w:val="0"/>
        </w:rPr>
        <w:t>（</w:t>
      </w:r>
      <w:r>
        <w:rPr>
          <w:rFonts w:ascii="宋体" w:hAnsi="宋体"/>
          <w:b w:val="0"/>
          <w:bCs w:val="0"/>
        </w:rPr>
        <w:t>3</w:t>
      </w:r>
      <w:r>
        <w:rPr>
          <w:rFonts w:hint="eastAsia" w:ascii="宋体" w:hAnsi="宋体"/>
          <w:b w:val="0"/>
          <w:bCs w:val="0"/>
        </w:rPr>
        <w:t>）帮助学生养成</w:t>
      </w:r>
      <w:r>
        <w:rPr>
          <w:rFonts w:hint="eastAsia" w:ascii="宋体" w:hAnsi="宋体"/>
          <w:b w:val="0"/>
          <w:bCs w:val="0"/>
          <w:color w:val="FF0000"/>
        </w:rPr>
        <w:t>健康有序、向善向上、平和持久、通融自洽</w:t>
      </w:r>
      <w:r>
        <w:rPr>
          <w:rFonts w:hint="eastAsia" w:ascii="宋体" w:hAnsi="宋体"/>
          <w:b w:val="0"/>
          <w:bCs w:val="0"/>
        </w:rPr>
        <w:t>的生活方式，</w:t>
      </w:r>
      <w:r>
        <w:rPr>
          <w:rFonts w:hint="eastAsia" w:ascii="宋体" w:hAnsi="宋体"/>
          <w:b w:val="0"/>
          <w:bCs w:val="0"/>
          <w:color w:val="FF0000"/>
        </w:rPr>
        <w:t>帮助学生培养健全人格、社会责任感、家国情怀和自我管理能力。</w:t>
      </w:r>
      <w:r>
        <w:rPr>
          <w:rFonts w:hint="eastAsia" w:ascii="宋体" w:hAnsi="宋体"/>
          <w:b w:val="0"/>
          <w:bCs w:val="0"/>
        </w:rPr>
        <w:t>（强支撑课程目标</w:t>
      </w:r>
      <w:r>
        <w:rPr>
          <w:rFonts w:ascii="宋体" w:hAnsi="宋体"/>
          <w:b w:val="0"/>
          <w:bCs w:val="0"/>
        </w:rPr>
        <w:t>6</w:t>
      </w:r>
      <w:r>
        <w:rPr>
          <w:rFonts w:hint="eastAsia" w:ascii="宋体" w:hAnsi="宋体"/>
          <w:b w:val="0"/>
          <w:bCs w:val="0"/>
        </w:rPr>
        <w:t>和</w:t>
      </w:r>
      <w:r>
        <w:rPr>
          <w:rFonts w:ascii="宋体" w:hAnsi="宋体"/>
          <w:b w:val="0"/>
          <w:bCs w:val="0"/>
        </w:rPr>
        <w:t>1</w:t>
      </w:r>
      <w:r>
        <w:rPr>
          <w:rFonts w:hint="eastAsia" w:ascii="宋体" w:hAnsi="宋体"/>
          <w:b w:val="0"/>
          <w:bCs w:val="0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5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="1807" w:firstLineChars="1000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人文精神（人文修养、同情心、社会责任、奉献精神等）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科学素养（创新精神、探究能力、理性思维等）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批判思维（逻辑思考、问题意识、反思批判等）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856" w:type="dxa"/>
          </w:tcPr>
          <w:p>
            <w:pPr>
              <w:widowControl/>
              <w:tabs>
                <w:tab w:val="left" w:pos="885"/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沟通表达能力（读写、论辩、倾听、协作等）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广博视野（学科交融、国际视野、国家认同等）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自主发展（珍爱生命、健全人格、自我管理等）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艺术审美（审美情趣、艺术鉴赏、艺术表达、创意表现等）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856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实践创新（动手能力、解决问题、工程思维等）</w:t>
            </w:r>
          </w:p>
        </w:tc>
      </w:tr>
    </w:tbl>
    <w:p>
      <w:pPr>
        <w:widowControl/>
        <w:spacing w:line="320" w:lineRule="exact"/>
        <w:jc w:val="center"/>
        <w:rPr>
          <w:rFonts w:ascii="宋体"/>
          <w:b/>
          <w:sz w:val="18"/>
          <w:szCs w:val="18"/>
        </w:rPr>
      </w:pPr>
    </w:p>
    <w:p>
      <w:pPr>
        <w:widowControl/>
        <w:spacing w:line="320" w:lineRule="exact"/>
        <w:jc w:val="center"/>
        <w:rPr>
          <w:rFonts w:ascii="宋体"/>
          <w:b/>
          <w:sz w:val="18"/>
          <w:szCs w:val="18"/>
        </w:rPr>
      </w:pPr>
    </w:p>
    <w:p>
      <w:pPr>
        <w:widowControl/>
        <w:spacing w:line="32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表</w:t>
      </w:r>
      <w:r>
        <w:rPr>
          <w:rFonts w:ascii="宋体" w:hAnsi="宋体"/>
          <w:b/>
          <w:sz w:val="18"/>
          <w:szCs w:val="18"/>
        </w:rPr>
        <w:t xml:space="preserve">1 </w:t>
      </w:r>
      <w:r>
        <w:rPr>
          <w:rFonts w:hint="eastAsia" w:ascii="宋体" w:hAnsi="宋体"/>
          <w:b/>
          <w:sz w:val="18"/>
          <w:szCs w:val="18"/>
        </w:rPr>
        <w:t>课程目标达成途径与主要判据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7"/>
        <w:gridCol w:w="4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7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课程目标</w:t>
            </w:r>
          </w:p>
        </w:tc>
        <w:tc>
          <w:tcPr>
            <w:tcW w:w="4103" w:type="dxa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达成途径及主要判据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1---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学会运用跨学科、多视角的方法，提高对人物进行综合分析和理性判断的能力。</w:t>
            </w:r>
          </w:p>
        </w:tc>
        <w:tc>
          <w:tcPr>
            <w:tcW w:w="4103" w:type="dxa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达成途径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教师讲授、课堂研讨。</w:t>
            </w:r>
          </w:p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主要判据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课堂研讨、综合报告。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2---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能透过名人生命历程，把握其背后的生命动力及其成因，反观自身优势与劣势。</w:t>
            </w:r>
          </w:p>
        </w:tc>
        <w:tc>
          <w:tcPr>
            <w:tcW w:w="4103" w:type="dxa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达成途径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教师讲授、课堂研讨。</w:t>
            </w:r>
          </w:p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主要判据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课堂研讨、综合报告。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5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3---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帮助学生养成健康有序、向善向上、平和持久、通融自洽的生活方式。</w:t>
            </w:r>
          </w:p>
        </w:tc>
        <w:tc>
          <w:tcPr>
            <w:tcW w:w="4103" w:type="dxa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达成途径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教师讲授、课堂研讨。</w:t>
            </w:r>
          </w:p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主要判据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课堂研讨、综合报告。</w:t>
            </w:r>
          </w:p>
        </w:tc>
      </w:tr>
    </w:tbl>
    <w:p>
      <w:pPr>
        <w:pStyle w:val="13"/>
        <w:spacing w:before="120" w:after="120"/>
        <w:ind w:firstLine="482" w:firstLineChars="200"/>
        <w:rPr>
          <w:rFonts w:ascii="宋体" w:cs="宋体"/>
          <w:b w:val="0"/>
          <w:bCs w:val="0"/>
          <w:sz w:val="18"/>
          <w:szCs w:val="18"/>
        </w:rPr>
      </w:pPr>
      <w:r>
        <w:rPr>
          <w:rFonts w:hint="eastAsia" w:cs="宋体"/>
          <w:sz w:val="24"/>
          <w:szCs w:val="24"/>
        </w:rPr>
        <w:t>二、课程内容与基本要求</w:t>
      </w:r>
    </w:p>
    <w:p>
      <w:pPr>
        <w:spacing w:line="320" w:lineRule="exact"/>
        <w:ind w:firstLine="2078" w:firstLineChars="1150"/>
        <w:rPr>
          <w:rFonts w:ascii="宋体"/>
          <w:b/>
          <w:bCs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表</w:t>
      </w:r>
      <w:r>
        <w:rPr>
          <w:rFonts w:ascii="宋体" w:hAnsi="宋体"/>
          <w:b/>
          <w:sz w:val="18"/>
          <w:szCs w:val="18"/>
        </w:rPr>
        <w:t xml:space="preserve">2 </w:t>
      </w:r>
      <w:r>
        <w:rPr>
          <w:rFonts w:hint="eastAsia" w:ascii="宋体" w:hAnsi="宋体"/>
          <w:b/>
          <w:sz w:val="18"/>
          <w:szCs w:val="18"/>
        </w:rPr>
        <w:t>课程目标与教学内容、教学方法的对应关系</w:t>
      </w:r>
    </w:p>
    <w:tbl>
      <w:tblPr>
        <w:tblStyle w:val="5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127"/>
        <w:gridCol w:w="708"/>
        <w:gridCol w:w="709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943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教学内容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教学方法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课程目标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943" w:type="dxa"/>
            <w:vMerge w:val="continue"/>
            <w:tcBorders>
              <w:tl2br w:val="single" w:color="auto" w:sz="4" w:space="0"/>
            </w:tcBorders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2127" w:type="dxa"/>
            <w:vMerge w:val="continue"/>
            <w:tcBorders>
              <w:tl2br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420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⑴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⑵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⑶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第一讲人体衰老与人类寿命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第二讲“愚钝”与“聪明”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爱因斯坦的不可为与可为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第三讲“死在幸福之峰巅者最光荣”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海明威的硬汉形象与抑郁症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第四讲从缺乏安全感到敬畏“自在之物”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康德“谨小慎微”的学术生涯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第五讲苦读、失明、桀骜不驯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陈寅恪“独立之精神，自由之思想”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第六讲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荨麻疹、乳癌、车祸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世纪风华宋美龄的传奇人生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第七讲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上帝的苹果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乔布斯对抗命运的智慧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第八讲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“不养生”的寿星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爱好织毛衣的首相丘吉尔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第九讲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家国狂徒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革命家陈独秀的悲壮人生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第十讲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商业巨子、公益丰碑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邵逸夫的追求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第十一讲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期末主题总汇，撰写心得体会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讲授、习作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</w:tr>
    </w:tbl>
    <w:p>
      <w:pPr>
        <w:pStyle w:val="10"/>
        <w:spacing w:line="400" w:lineRule="exact"/>
        <w:ind w:firstLine="31680"/>
        <w:jc w:val="left"/>
        <w:rPr>
          <w:rFonts w:hAnsi="宋体"/>
        </w:rPr>
      </w:pPr>
      <w:r>
        <w:rPr>
          <w:rFonts w:hint="eastAsia" w:hAnsi="宋体"/>
        </w:rPr>
        <w:t>该课程详细教学内容和方法如下所述。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/>
        </w:rPr>
        <w:t>.</w:t>
      </w:r>
      <w:r>
        <w:rPr>
          <w:rFonts w:hint="eastAsia" w:ascii="宋体" w:hAnsi="宋体"/>
        </w:rPr>
        <w:t>第一讲人体</w:t>
      </w:r>
      <w:r>
        <w:rPr>
          <w:rFonts w:hint="eastAsia" w:ascii="宋体" w:hAnsi="Courier New"/>
          <w:kern w:val="0"/>
          <w:szCs w:val="21"/>
        </w:rPr>
        <w:t>衰老</w:t>
      </w:r>
      <w:r>
        <w:rPr>
          <w:rFonts w:hint="eastAsia" w:ascii="宋体" w:hAnsi="宋体"/>
        </w:rPr>
        <w:t>与人类寿命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、衰老的社会学与生物学意义，人体衰老时间表（平均）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、人类历代平均寿命及其主要影响因素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、人类疾病谱的现代转向，影响现代人健康及寿命的主要因素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、教师讲授为主，师生研讨为辅。教师提问相关问题，考察学生知识储备与应变能力。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、学生了解本学期教学与研讨专题，布置下次教学与研讨主题。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）重点：人类疾病谱的现代转向，影响现代人健康及寿命的主要因素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难点：人类历代平均寿命（缺乏详实准确的资料，必须对比、分析、鉴别）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pStyle w:val="2"/>
        <w:spacing w:before="0" w:beforeAutospacing="0" w:after="0" w:afterAutospacing="0" w:line="400" w:lineRule="exact"/>
        <w:ind w:firstLine="420" w:firstLineChars="200"/>
        <w:rPr>
          <w:rFonts w:ascii="Times New Roman" w:hAnsi="Times New Roman"/>
          <w:b w:val="0"/>
          <w:bCs/>
          <w:kern w:val="2"/>
          <w:sz w:val="21"/>
          <w:szCs w:val="24"/>
        </w:rPr>
      </w:pPr>
      <w:r>
        <w:rPr>
          <w:b w:val="0"/>
          <w:kern w:val="2"/>
          <w:sz w:val="21"/>
          <w:szCs w:val="24"/>
        </w:rPr>
        <w:t>1</w:t>
      </w:r>
      <w:r>
        <w:rPr>
          <w:rFonts w:hint="eastAsia"/>
          <w:b w:val="0"/>
          <w:kern w:val="2"/>
          <w:sz w:val="21"/>
          <w:szCs w:val="24"/>
        </w:rPr>
        <w:t>、古人说</w:t>
      </w:r>
      <w:r>
        <w:rPr>
          <w:b w:val="0"/>
          <w:kern w:val="2"/>
          <w:sz w:val="21"/>
          <w:szCs w:val="24"/>
        </w:rPr>
        <w:t>73</w:t>
      </w:r>
      <w:r>
        <w:rPr>
          <w:rFonts w:hint="eastAsia"/>
          <w:b w:val="0"/>
          <w:kern w:val="2"/>
          <w:sz w:val="21"/>
          <w:szCs w:val="24"/>
        </w:rPr>
        <w:t>、</w:t>
      </w:r>
      <w:r>
        <w:rPr>
          <w:b w:val="0"/>
          <w:kern w:val="2"/>
          <w:sz w:val="21"/>
          <w:szCs w:val="24"/>
        </w:rPr>
        <w:t>84</w:t>
      </w:r>
      <w:r>
        <w:rPr>
          <w:rFonts w:hint="eastAsia"/>
          <w:b w:val="0"/>
          <w:kern w:val="2"/>
          <w:sz w:val="21"/>
          <w:szCs w:val="24"/>
        </w:rPr>
        <w:t>阎王不叫自己去，如何理解这句话？</w:t>
      </w:r>
    </w:p>
    <w:p>
      <w:pPr>
        <w:spacing w:line="400" w:lineRule="exact"/>
        <w:ind w:firstLine="42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、课后准备材料，列举分析“入错行”的名人。</w:t>
      </w:r>
    </w:p>
    <w:p>
      <w:pPr>
        <w:spacing w:line="400" w:lineRule="exact"/>
        <w:ind w:firstLine="42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、课后准备材料，列举分析“改行”名人的成功之道。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/>
        </w:rPr>
        <w:t>.</w:t>
      </w:r>
      <w:r>
        <w:rPr>
          <w:rFonts w:hint="eastAsia" w:ascii="宋体" w:hAnsi="宋体"/>
        </w:rPr>
        <w:t>第二讲“愚钝”与“聪明”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爱因斯坦的不可为与可为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、爱因斯坦的“愚钝”与“聪明”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、爱因斯坦的不可为与可为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、爱因斯坦健康及其生活方式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、爱因斯坦对待死亡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、爱因斯坦的政治理想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、教师讲授主要内容，注意引导理解爱因斯坦“愚钝”与“聪明”之间的关系。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、安排部分学生专题演讲：①列举分析“入错行”的名人；②列举分析“改行”名人的成功之道；③分析大学生转专业及自己从业的优势与劣势。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）重点：爱因斯坦“愚钝”与“聪明”之间的关系，体会其</w:t>
      </w:r>
      <w:r>
        <w:rPr>
          <w:rFonts w:hint="eastAsia" w:ascii="宋体" w:hAnsi="宋体"/>
          <w:b w:val="0"/>
          <w:bCs w:val="0"/>
          <w:color w:val="FF0000"/>
        </w:rPr>
        <w:t>科学</w:t>
      </w:r>
      <w:r>
        <w:rPr>
          <w:rFonts w:hint="eastAsia" w:ascii="宋体" w:hAnsi="宋体"/>
          <w:b w:val="0"/>
          <w:bCs w:val="0"/>
          <w:color w:val="FF0000"/>
          <w:lang w:eastAsia="zh-CN"/>
        </w:rPr>
        <w:t>素养</w:t>
      </w:r>
      <w:r>
        <w:rPr>
          <w:rFonts w:hint="eastAsia" w:ascii="宋体" w:hAnsi="宋体"/>
          <w:color w:val="FF0000"/>
        </w:rPr>
        <w:t>、创新精神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难点：大学生转专业及自己从业的优势与劣势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、部分名人“入错行”的主观与客观因素；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、部分名人“改行”后成功的主要原因；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、大学生转专业及自己从业必须考虑哪些主要因素？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/>
        </w:rPr>
        <w:t>.</w:t>
      </w:r>
      <w:r>
        <w:rPr>
          <w:rFonts w:hint="eastAsia" w:ascii="宋体" w:hAnsi="宋体"/>
        </w:rPr>
        <w:t>第三讲“死在幸福之峰巅者最光荣”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海明威的硬汉形象与抑郁症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、海明威的体魄与气质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、海明威作品中的硬汉形象及意义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、海明威的健康与生命价值观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、讲授中，教师侧重引导学生理解：海明威的硬汉形象与其抑郁症之间的关系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、安排部分学生专题演讲：①列举分析部分自杀名人；②分析抑郁症的后天因素及其对策；③分析自己最抑郁或烦闷时的思想与原因。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）重点：海明威的硬汉形象与其抑郁症之间的关系，结合</w:t>
      </w:r>
      <w:r>
        <w:rPr>
          <w:rFonts w:hint="eastAsia" w:ascii="宋体" w:hAnsi="宋体"/>
          <w:color w:val="FF0000"/>
        </w:rPr>
        <w:t>职业道德、个人品德</w:t>
      </w:r>
      <w:r>
        <w:rPr>
          <w:rFonts w:hint="eastAsia" w:ascii="宋体" w:hAnsi="宋体"/>
        </w:rPr>
        <w:t>分析。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难点：分析自己最抑郁或烦闷时的思想与原因（学生可能自我顾忌多）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、海明威硬汉形象背后的脆弱面；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、抑郁症的后天因素与对策；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、自己对抗抑郁症的经验与教训。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/>
        </w:rPr>
        <w:t>.</w:t>
      </w:r>
      <w:r>
        <w:rPr>
          <w:rFonts w:hint="eastAsia" w:ascii="宋体" w:hAnsi="宋体"/>
        </w:rPr>
        <w:t>第四讲从缺乏安全感到敬畏“自在之物”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康德“谨小慎微”的学术生涯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、康德的家境、体质与安全感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、康德的生活方式与健康观念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、康德的成就与遗憾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、教师讲授中侧重引导学生理解：康德缺乏安全感与其“谨小慎微”生活之间的关系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、安排部分学生专题演讲：①举例分析安全感对一个人生活的影响；②列举分析终身未婚名人；③分析社会中愈演愈烈的单身现象。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）重点：领悟康德早年缺乏安全感与其以后生活方式（追求内在自由）之间的关系</w:t>
      </w:r>
    </w:p>
    <w:p>
      <w:pPr>
        <w:spacing w:line="400" w:lineRule="exact"/>
        <w:ind w:firstLine="525" w:firstLineChars="25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难点：领悟康德早年缺乏安全感与其以后生活方式（追求内在自由）之间的关系</w:t>
      </w:r>
      <w:r>
        <w:rPr>
          <w:rFonts w:hint="eastAsia" w:ascii="宋体" w:hAnsi="宋体"/>
          <w:lang w:eastAsia="zh-CN"/>
        </w:rPr>
        <w:t>，</w:t>
      </w:r>
    </w:p>
    <w:p>
      <w:pPr>
        <w:spacing w:line="400" w:lineRule="exact"/>
        <w:ind w:firstLine="1155" w:firstLineChars="550"/>
        <w:rPr>
          <w:rFonts w:hint="eastAsia" w:ascii="宋体" w:eastAsia="宋体"/>
          <w:lang w:eastAsia="zh-CN"/>
        </w:rPr>
      </w:pPr>
      <w:r>
        <w:rPr>
          <w:rFonts w:hint="eastAsia" w:ascii="宋体" w:hAnsi="宋体"/>
          <w:lang w:eastAsia="zh-CN"/>
        </w:rPr>
        <w:t>学习</w:t>
      </w:r>
      <w:r>
        <w:rPr>
          <w:rFonts w:hint="eastAsia" w:ascii="宋体" w:hAnsi="宋体"/>
          <w:color w:val="FF0000"/>
          <w:lang w:eastAsia="zh-CN"/>
        </w:rPr>
        <w:t>自我管理</w:t>
      </w:r>
      <w:r>
        <w:rPr>
          <w:rFonts w:hint="eastAsia" w:ascii="宋体" w:hAnsi="宋体"/>
          <w:lang w:eastAsia="zh-CN"/>
        </w:rPr>
        <w:t>能力。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、列举分析终身未婚名人；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、分析社会中愈演愈烈的单身现象；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、回忆分析自己早年的安全感及其对目前生活的影响。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5</w:t>
      </w:r>
      <w:r>
        <w:rPr>
          <w:rFonts w:ascii="宋体"/>
        </w:rPr>
        <w:t>.</w:t>
      </w:r>
      <w:r>
        <w:rPr>
          <w:rFonts w:hint="eastAsia" w:ascii="宋体" w:hAnsi="宋体"/>
        </w:rPr>
        <w:t>第五讲苦读、失明、桀骜不驯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陈寅恪“独立之精神，自由之思想”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、陈寅恪的苦读与学问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、陈寅恪失明及其根源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、陈寅恪失明后的生活及其学术人格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、教师讲授主要内容，引导学生感受：陈寅恪求学精神、失明后的生活及其学术人格。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、安排部分学生专题演讲：①举例分析</w:t>
      </w:r>
      <w:r>
        <w:rPr>
          <w:rFonts w:hint="eastAsia" w:ascii="宋体" w:hAnsi="宋体"/>
          <w:color w:val="FF0000"/>
        </w:rPr>
        <w:t>身残志坚</w:t>
      </w:r>
      <w:r>
        <w:rPr>
          <w:rFonts w:hint="eastAsia" w:ascii="宋体" w:hAnsi="宋体"/>
        </w:rPr>
        <w:t>名人事迹；②了解现代人常见的眼睛问题及后天因素；③列举分析政治大潮时名人的选择与结局（国民党败退时，明末清初等）。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）重点：陈寅恪的学术人格，学习其</w:t>
      </w:r>
      <w:r>
        <w:rPr>
          <w:rFonts w:hint="eastAsia" w:ascii="宋体" w:hAnsi="宋体"/>
          <w:color w:val="FF0000"/>
        </w:rPr>
        <w:t>科学精神、</w:t>
      </w:r>
      <w:r>
        <w:rPr>
          <w:rFonts w:hint="eastAsia" w:ascii="宋体" w:hAnsi="宋体"/>
          <w:color w:val="FF0000"/>
          <w:lang w:eastAsia="zh-CN"/>
        </w:rPr>
        <w:t>批判精神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难点：分析政治大潮时名人的选择与结局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、列举分析身残志坚名人成功之道；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、了解现代人常见的眼睛问题及后天因素；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、列举分析政治大潮时名人的选择与结局。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6</w:t>
      </w:r>
      <w:r>
        <w:rPr>
          <w:rFonts w:ascii="宋体"/>
        </w:rPr>
        <w:t>.</w:t>
      </w:r>
      <w:r>
        <w:rPr>
          <w:rFonts w:hint="eastAsia" w:ascii="宋体" w:hAnsi="宋体"/>
        </w:rPr>
        <w:t>第六讲荨麻疹、乳癌、车祸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世纪风华宋美龄的传奇人生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、宋美龄的体质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、宋美龄的政治智慧与长寿因素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、教师讲授主要内容，引导学生感受：宋美龄的政治智慧与长寿因素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、安排部分学生专题演讲：①列举分析女名人的生活方式及其成就；②女性养生保健的特殊性；③分析女权运动及其趋势。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ind w:firstLine="105" w:firstLineChars="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）重点：宋美龄的政治智慧与长寿因素，从</w:t>
      </w:r>
      <w:r>
        <w:rPr>
          <w:rFonts w:hint="eastAsia" w:ascii="宋体" w:hAnsi="宋体"/>
          <w:color w:val="FF0000"/>
        </w:rPr>
        <w:t>战略思维、辩证思维</w:t>
      </w:r>
      <w:r>
        <w:rPr>
          <w:rFonts w:hint="eastAsia" w:ascii="宋体" w:hAnsi="宋体"/>
        </w:rPr>
        <w:t>角度。</w:t>
      </w:r>
    </w:p>
    <w:p>
      <w:pPr>
        <w:spacing w:line="400" w:lineRule="exact"/>
        <w:ind w:firstLine="630" w:firstLineChars="300"/>
        <w:rPr>
          <w:rFonts w:ascii="宋体"/>
        </w:rPr>
      </w:pPr>
      <w:r>
        <w:rPr>
          <w:rFonts w:hint="eastAsia" w:ascii="宋体" w:hAnsi="宋体"/>
        </w:rPr>
        <w:t>难点：女权运动及其趋势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、部分女名人生活方式与其成功之间的关系；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、女性养生保健的特殊性；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、女权运动及其趋势。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7</w:t>
      </w:r>
      <w:r>
        <w:rPr>
          <w:rFonts w:ascii="宋体"/>
        </w:rPr>
        <w:t>.</w:t>
      </w:r>
      <w:r>
        <w:rPr>
          <w:rFonts w:hint="eastAsia" w:ascii="宋体" w:hAnsi="宋体"/>
        </w:rPr>
        <w:t>第七讲上帝的苹果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乔布斯对抗命运的智慧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、乔布斯的致命疾病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、乔布斯对抗死神的生活方式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、著名专家论严重疾病（癌症等）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、教师侧重讲授乔布斯对抗死神的智慧与生活方式。播放医学专家讲解癌症等严重疾病的相关视频，了解医学界对癌症等疾病的最新认识。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、安排部分学生专题演讲：①举例分析名人对抗严重疾病的信念、策略；②了解常见严重疾病（癌症、心脑血管疾病等）与生活方式的关系；③分析自身健康方面的优势与劣势。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ind w:left="31680" w:hanging="1155" w:hangingChars="5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）重点：了解常见严重疾病（癌症、心脑血管疾病等）与生活方式的关系，学习乔布斯</w:t>
      </w:r>
      <w:r>
        <w:rPr>
          <w:rFonts w:hint="eastAsia" w:ascii="宋体" w:hAnsi="宋体"/>
          <w:color w:val="FF0000"/>
        </w:rPr>
        <w:t>创新精神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难点：分析自身健康方面的优势与劣势（认识、剖析自身最困难）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、常见严重疾病（癌症、心脑血管疾病等）与生活方式的关系；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、如何理智对待不治之症？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、剖析自身健康问题与对策。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8</w:t>
      </w:r>
      <w:r>
        <w:rPr>
          <w:rFonts w:ascii="宋体"/>
        </w:rPr>
        <w:t>.</w:t>
      </w:r>
      <w:r>
        <w:rPr>
          <w:rFonts w:hint="eastAsia" w:ascii="宋体" w:hAnsi="宋体"/>
        </w:rPr>
        <w:t>第八讲“不养生”的寿星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爱好织毛衣的首相丘吉尔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、丘吉尔身上不利于长寿的先天与后天因素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、丘吉尔长寿因素分析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、教师讲授并分析丘吉尔长寿原因与生活方式，区分其生活方式中理性与非理性因素。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、安排部分学生专题演讲：①分析几位政治家的健康与政治生涯；②分析现代生活的减压方式及其原理。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）重点：丘吉尔长寿原因与生活方式，从</w:t>
      </w:r>
      <w:r>
        <w:rPr>
          <w:rFonts w:hint="eastAsia" w:ascii="宋体" w:hAnsi="宋体"/>
          <w:color w:val="FF0000"/>
        </w:rPr>
        <w:t>战略思维、辩证思维</w:t>
      </w:r>
      <w:r>
        <w:rPr>
          <w:rFonts w:hint="eastAsia" w:ascii="宋体" w:hAnsi="宋体"/>
        </w:rPr>
        <w:t>角度分析。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难点：区分丘吉尔生活方式中理性与非理性因素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、列举分析职业与健康的关系；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、剖析自身生活方式中理性与非理性因素；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、分析现代生活的减压方式及其原理。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9</w:t>
      </w:r>
      <w:r>
        <w:rPr>
          <w:rFonts w:ascii="宋体"/>
        </w:rPr>
        <w:t>.</w:t>
      </w:r>
      <w:r>
        <w:rPr>
          <w:rFonts w:hint="eastAsia" w:ascii="宋体" w:hAnsi="宋体"/>
        </w:rPr>
        <w:t>第九讲家国狂徒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革命家陈独秀的悲壮人生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、陈独秀的悲壮人生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、陈独秀的影响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、陈独秀的人生启示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、教师讲授陈独秀的悲壮人生，分析其个性与其家庭、社会之间的关系。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、安排部分学生专题演讲：①列举分析有强烈叛逆性格名人的生活；②分析强烈叛逆性格的双重意义及其调适。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）重点：陈独秀个性与其家庭、社会之间的关系，感受其</w:t>
      </w:r>
      <w:r>
        <w:rPr>
          <w:rFonts w:hint="eastAsia" w:ascii="宋体" w:hAnsi="宋体"/>
          <w:color w:val="FF0000"/>
        </w:rPr>
        <w:t>家国情怀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难点：强烈叛逆性格的双重意义及其调适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、如果你处在陈独秀的时代，你会选择怎样的生活？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、有强烈叛逆性格的人，如何调适自己？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、狂狷性格（见《论语</w:t>
      </w:r>
      <w:r>
        <w:rPr>
          <w:rFonts w:hint="eastAsia" w:ascii="宋体"/>
        </w:rPr>
        <w:t>·</w:t>
      </w:r>
      <w:r>
        <w:rPr>
          <w:rFonts w:hint="eastAsia" w:ascii="宋体" w:hAnsi="宋体"/>
        </w:rPr>
        <w:t>子路》）的社会意义（积极与消极）。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/>
        </w:rPr>
        <w:t>0.</w:t>
      </w:r>
      <w:r>
        <w:rPr>
          <w:rFonts w:hint="eastAsia" w:ascii="宋体" w:hAnsi="宋体"/>
        </w:rPr>
        <w:t>第十讲商业巨子、公益丰碑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寿星邵逸夫的追求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）主要内容：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、商业奇才的创业之路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、邵逸夫的公益事业与养生之道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）教学方法与要求：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、教师讲授邵逸夫的创业之路，注意分析其如何转向公益事业。</w:t>
      </w:r>
    </w:p>
    <w:p>
      <w:pPr>
        <w:spacing w:line="400" w:lineRule="exact"/>
        <w:ind w:left="735" w:leftChars="200" w:hanging="315" w:hangingChars="15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、安排部分学生专题演讲：①列举分析慈善名人的创业与生活之路；②慈善事业与个人养生的关系及其原理。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、教师组织其他人分别就每个专题演讲展开讨论。</w:t>
      </w:r>
    </w:p>
    <w:p>
      <w:pPr>
        <w:spacing w:line="400" w:lineRule="exact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）重点：分析邵逸夫的公益事业与养生之道，从</w:t>
      </w:r>
      <w:r>
        <w:rPr>
          <w:rFonts w:hint="eastAsia" w:ascii="宋体" w:hAnsi="宋体"/>
          <w:color w:val="FF0000"/>
        </w:rPr>
        <w:t>社会公德与个人品德</w:t>
      </w:r>
      <w:r>
        <w:rPr>
          <w:rFonts w:hint="eastAsia" w:ascii="宋体" w:hAnsi="宋体"/>
        </w:rPr>
        <w:t>角度</w:t>
      </w:r>
      <w:r>
        <w:rPr>
          <w:rFonts w:hint="eastAsia" w:ascii="宋体" w:hAnsi="宋体"/>
          <w:lang w:eastAsia="zh-CN"/>
        </w:rPr>
        <w:t>，</w:t>
      </w:r>
    </w:p>
    <w:p>
      <w:pPr>
        <w:spacing w:line="400" w:lineRule="exact"/>
        <w:ind w:firstLine="1260" w:firstLineChars="600"/>
        <w:rPr>
          <w:rFonts w:ascii="宋体"/>
        </w:rPr>
      </w:pPr>
      <w:r>
        <w:rPr>
          <w:rFonts w:hint="eastAsia" w:ascii="宋体" w:hAnsi="宋体"/>
          <w:lang w:eastAsia="zh-CN"/>
        </w:rPr>
        <w:t>学习其</w:t>
      </w:r>
      <w:r>
        <w:rPr>
          <w:rFonts w:hint="eastAsia" w:ascii="宋体" w:hAnsi="宋体"/>
          <w:color w:val="FF0000"/>
          <w:lang w:eastAsia="zh-CN"/>
        </w:rPr>
        <w:t>社会责任感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难点：慈善事业与个人养生的关系及其原理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）阅读要求：不限制，但可信度高的出版物、期刊论文等，为首选。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）讨论题、思考题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、慈善事业与个人养生的关系及其原理；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、中国慈善事业的现状及其社会背景；</w:t>
      </w:r>
    </w:p>
    <w:p>
      <w:pPr>
        <w:spacing w:line="400" w:lineRule="exact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、中外慈善事业比较。</w:t>
      </w:r>
    </w:p>
    <w:p>
      <w:pPr>
        <w:spacing w:line="400" w:lineRule="exact"/>
        <w:ind w:left="31680" w:hanging="525" w:hangingChars="250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）课外学习要求：重点借助海内外可信度高的出版物、期刊、视频音频资料等，但要注重对比与推理，避免先入为主、感情用事、思维定式。</w:t>
      </w:r>
    </w:p>
    <w:p>
      <w:pPr>
        <w:spacing w:line="400" w:lineRule="exact"/>
        <w:rPr>
          <w:rFonts w:ascii="宋体"/>
        </w:rPr>
      </w:pPr>
      <w:r>
        <w:rPr>
          <w:rFonts w:ascii="宋体" w:hAnsi="宋体"/>
        </w:rPr>
        <w:t>11.</w:t>
      </w:r>
      <w:r>
        <w:rPr>
          <w:rFonts w:hint="eastAsia" w:ascii="宋体" w:hAnsi="宋体"/>
        </w:rPr>
        <w:t>第十一讲期末主题总汇，撰写心得体会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）教师总汇本学期教学、研讨主题，提炼研讨闪光点与不足（</w:t>
      </w:r>
      <w:r>
        <w:rPr>
          <w:rFonts w:ascii="宋体" w:hAnsi="宋体"/>
        </w:rPr>
        <w:t>15-20</w:t>
      </w:r>
      <w:r>
        <w:rPr>
          <w:rFonts w:hint="eastAsia" w:ascii="宋体" w:hAnsi="宋体"/>
        </w:rPr>
        <w:t>分钟）。</w:t>
      </w:r>
    </w:p>
    <w:p>
      <w:pPr>
        <w:spacing w:line="400" w:lineRule="exact"/>
        <w:rPr>
          <w:rFonts w:asci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）组织学生总结本学期学习与研讨心得，尤其对自己生活方式的影响，当堂撰写成文，</w:t>
      </w:r>
    </w:p>
    <w:p>
      <w:pPr>
        <w:spacing w:line="400" w:lineRule="exact"/>
        <w:ind w:firstLine="525" w:firstLineChars="250"/>
        <w:rPr>
          <w:rFonts w:ascii="宋体"/>
        </w:rPr>
      </w:pPr>
      <w:r>
        <w:rPr>
          <w:rFonts w:hint="eastAsia" w:ascii="宋体" w:hAnsi="宋体"/>
        </w:rPr>
        <w:t>然后誊抄在规定纸张上（教师提前准备），</w:t>
      </w:r>
      <w:r>
        <w:rPr>
          <w:rFonts w:ascii="宋体" w:hAnsi="宋体"/>
        </w:rPr>
        <w:t>1000</w:t>
      </w:r>
      <w:r>
        <w:rPr>
          <w:rFonts w:hint="eastAsia" w:ascii="宋体" w:hAnsi="宋体"/>
        </w:rPr>
        <w:t>字左右（</w:t>
      </w:r>
      <w:r>
        <w:rPr>
          <w:rFonts w:ascii="宋体" w:hAnsi="宋体"/>
        </w:rPr>
        <w:t>70-75</w:t>
      </w:r>
      <w:r>
        <w:rPr>
          <w:rFonts w:hint="eastAsia" w:ascii="宋体" w:hAnsi="宋体"/>
        </w:rPr>
        <w:t>分钟）。</w:t>
      </w:r>
    </w:p>
    <w:p>
      <w:pPr>
        <w:pStyle w:val="13"/>
        <w:spacing w:before="120" w:after="120"/>
        <w:ind w:left="118" w:leftChars="56" w:firstLine="407" w:firstLineChars="169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三、实践环节及要求</w:t>
      </w:r>
    </w:p>
    <w:p>
      <w:pPr>
        <w:spacing w:line="400" w:lineRule="exact"/>
        <w:ind w:firstLine="1260" w:firstLineChars="600"/>
        <w:rPr>
          <w:rFonts w:ascii="宋体"/>
        </w:rPr>
      </w:pPr>
      <w:r>
        <w:rPr>
          <w:rFonts w:hint="eastAsia" w:ascii="宋体" w:hAnsi="宋体"/>
        </w:rPr>
        <w:t>无</w:t>
      </w:r>
    </w:p>
    <w:p>
      <w:pPr>
        <w:pStyle w:val="13"/>
        <w:spacing w:before="120" w:after="120"/>
        <w:ind w:left="118" w:leftChars="56" w:firstLine="407" w:firstLineChars="169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四、与其它课程的联系</w:t>
      </w:r>
    </w:p>
    <w:p>
      <w:pPr>
        <w:spacing w:line="400" w:lineRule="exact"/>
        <w:ind w:firstLine="1260" w:firstLineChars="600"/>
        <w:rPr>
          <w:rFonts w:ascii="宋体"/>
        </w:rPr>
      </w:pPr>
      <w:r>
        <w:rPr>
          <w:rFonts w:hint="eastAsia" w:ascii="宋体" w:hAnsi="宋体"/>
        </w:rPr>
        <w:t>无</w:t>
      </w:r>
    </w:p>
    <w:p>
      <w:pPr>
        <w:pStyle w:val="13"/>
        <w:spacing w:before="120" w:after="120"/>
        <w:ind w:firstLine="482" w:firstLineChars="200"/>
        <w:rPr>
          <w:rFonts w:ascii="宋体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五、</w:t>
      </w:r>
      <w:r>
        <w:rPr>
          <w:rFonts w:hint="eastAsia" w:ascii="宋体" w:hAnsi="宋体" w:cs="宋体"/>
          <w:sz w:val="24"/>
          <w:szCs w:val="24"/>
        </w:rPr>
        <w:t>学时分配</w:t>
      </w:r>
    </w:p>
    <w:p>
      <w:pPr>
        <w:spacing w:line="320" w:lineRule="exact"/>
        <w:jc w:val="center"/>
        <w:rPr>
          <w:rFonts w:ascii="宋体"/>
          <w:b/>
          <w:bCs/>
          <w:sz w:val="24"/>
        </w:rPr>
      </w:pPr>
      <w:r>
        <w:rPr>
          <w:rFonts w:hint="eastAsia" w:ascii="宋体" w:hAnsi="宋体"/>
          <w:b/>
          <w:sz w:val="18"/>
          <w:szCs w:val="18"/>
        </w:rPr>
        <w:t>表</w:t>
      </w:r>
      <w:r>
        <w:rPr>
          <w:rFonts w:ascii="宋体" w:hAnsi="宋体"/>
          <w:b/>
          <w:sz w:val="18"/>
          <w:szCs w:val="18"/>
        </w:rPr>
        <w:t xml:space="preserve">3 </w:t>
      </w:r>
      <w:r>
        <w:rPr>
          <w:rFonts w:hint="eastAsia" w:ascii="宋体" w:hAnsi="宋体"/>
          <w:b/>
          <w:sz w:val="18"/>
          <w:szCs w:val="18"/>
        </w:rPr>
        <w:t>学时分配表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7"/>
        <w:gridCol w:w="471"/>
        <w:gridCol w:w="472"/>
        <w:gridCol w:w="472"/>
        <w:gridCol w:w="471"/>
        <w:gridCol w:w="472"/>
        <w:gridCol w:w="472"/>
        <w:gridCol w:w="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讲课时数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实验时数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实践学时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上机时数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自学时数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习题课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讨论时数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人体衰老与人类寿命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“愚钝”与“聪明”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爱因斯坦的不可为与可为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第三讲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“死在幸福之峰巅者最光荣”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海明威的硬汉形象与抑郁症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第四讲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从缺乏安全感到敬畏“自在之物”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康德“谨小慎微”的学术生涯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苦读、失明、桀骜不驯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陈寅恪“独立之精神，自由之思想”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第六讲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荨麻疹、乳癌、车祸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世纪风华宋美龄的传奇人生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第七讲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上帝的苹果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乔布斯对抗命运的智慧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第八讲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“不养生”的寿星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爱好织毛衣的首相丘吉尔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第九讲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家国狂徒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革命家陈独秀的悲壮人生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第十讲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商业巨子、公益丰碑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邵逸夫的追求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第十一讲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期末主题总汇，撰写心得体会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217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总计</w:t>
            </w:r>
          </w:p>
        </w:tc>
        <w:tc>
          <w:tcPr>
            <w:tcW w:w="3302" w:type="dxa"/>
            <w:gridSpan w:val="7"/>
          </w:tcPr>
          <w:p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</w:tr>
    </w:tbl>
    <w:p>
      <w:pPr>
        <w:pStyle w:val="13"/>
        <w:spacing w:before="120" w:after="120"/>
        <w:ind w:firstLine="482" w:firstLineChars="2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六、课程考核方式及成绩评定方法</w:t>
      </w:r>
    </w:p>
    <w:p>
      <w:pPr>
        <w:spacing w:line="400" w:lineRule="exact"/>
        <w:ind w:firstLine="1050" w:firstLineChars="500"/>
        <w:rPr>
          <w:rFonts w:ascii="宋体"/>
        </w:rPr>
      </w:pPr>
      <w:r>
        <w:rPr>
          <w:rFonts w:hint="eastAsia" w:ascii="宋体" w:hAnsi="宋体"/>
        </w:rPr>
        <w:t>本课程为考查课；</w:t>
      </w:r>
    </w:p>
    <w:p>
      <w:pPr>
        <w:spacing w:line="400" w:lineRule="exact"/>
        <w:ind w:firstLine="1050" w:firstLineChars="500"/>
        <w:rPr>
          <w:rFonts w:ascii="宋体"/>
        </w:rPr>
      </w:pPr>
      <w:r>
        <w:rPr>
          <w:rFonts w:hint="eastAsia" w:ascii="宋体" w:hAnsi="宋体"/>
        </w:rPr>
        <w:t>总评成绩＝课堂讲演</w:t>
      </w:r>
      <w:r>
        <w:rPr>
          <w:rFonts w:hint="eastAsia" w:ascii="宋体" w:hAnsi="宋体" w:eastAsia="宋体" w:cs="宋体"/>
        </w:rPr>
        <w:t>×</w:t>
      </w:r>
      <w:r>
        <w:rPr>
          <w:rFonts w:ascii="宋体" w:hAnsi="宋体"/>
        </w:rPr>
        <w:t>30%</w:t>
      </w:r>
      <w:r>
        <w:rPr>
          <w:rFonts w:hint="eastAsia" w:ascii="宋体" w:hAnsi="宋体"/>
        </w:rPr>
        <w:t>＋课堂讨论</w:t>
      </w:r>
      <w:r>
        <w:rPr>
          <w:rFonts w:hint="eastAsia" w:ascii="宋体" w:hAnsi="宋体" w:eastAsia="宋体" w:cs="宋体"/>
        </w:rPr>
        <w:t>×</w:t>
      </w:r>
      <w:r>
        <w:rPr>
          <w:rFonts w:ascii="宋体" w:hAnsi="宋体"/>
        </w:rPr>
        <w:t>30%</w:t>
      </w:r>
      <w:r>
        <w:rPr>
          <w:rFonts w:hint="eastAsia" w:ascii="宋体" w:hAnsi="宋体"/>
        </w:rPr>
        <w:t>＋期末论文</w:t>
      </w:r>
      <w:r>
        <w:rPr>
          <w:rFonts w:hint="eastAsia" w:ascii="宋体" w:hAnsi="宋体" w:eastAsia="宋体" w:cs="宋体"/>
        </w:rPr>
        <w:t>×</w:t>
      </w:r>
      <w:r>
        <w:rPr>
          <w:rFonts w:ascii="宋体" w:hAnsi="宋体"/>
        </w:rPr>
        <w:t>40%</w:t>
      </w:r>
    </w:p>
    <w:p>
      <w:pPr>
        <w:spacing w:line="320" w:lineRule="exact"/>
        <w:ind w:firstLine="2801" w:firstLineChars="1550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表</w:t>
      </w:r>
      <w:r>
        <w:rPr>
          <w:rFonts w:ascii="宋体" w:hAnsi="宋体"/>
          <w:b/>
          <w:sz w:val="18"/>
          <w:szCs w:val="18"/>
        </w:rPr>
        <w:t>4</w:t>
      </w:r>
      <w:r>
        <w:rPr>
          <w:rFonts w:hint="eastAsia" w:ascii="宋体" w:hAnsi="宋体"/>
          <w:b/>
          <w:sz w:val="18"/>
          <w:szCs w:val="18"/>
        </w:rPr>
        <w:t>课程考核与成绩评定方法</w:t>
      </w:r>
    </w:p>
    <w:tbl>
      <w:tblPr>
        <w:tblStyle w:val="5"/>
        <w:tblW w:w="84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590"/>
        <w:gridCol w:w="2126"/>
        <w:gridCol w:w="2551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考核项目</w:t>
            </w:r>
          </w:p>
        </w:tc>
        <w:tc>
          <w:tcPr>
            <w:tcW w:w="1590" w:type="dxa"/>
            <w:vAlign w:val="center"/>
          </w:tcPr>
          <w:p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考核内容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考核关联的课程目标</w:t>
            </w:r>
          </w:p>
        </w:tc>
        <w:tc>
          <w:tcPr>
            <w:tcW w:w="2551" w:type="dxa"/>
            <w:vAlign w:val="center"/>
          </w:tcPr>
          <w:p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考核依据与方法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占课程总成绩的比重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考勤与课堂研讨</w:t>
            </w:r>
          </w:p>
        </w:tc>
        <w:tc>
          <w:tcPr>
            <w:tcW w:w="159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课堂出勤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不定时考勤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课堂参与研讨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课堂参与研讨的质量与次数，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鼓励思维创新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和批判精神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（其中课程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思政占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%。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课堂演讲</w:t>
            </w:r>
          </w:p>
        </w:tc>
        <w:tc>
          <w:tcPr>
            <w:tcW w:w="159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专题演讲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根据学生课堂演讲质量进行评价，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坚持科学精神、强调辩证思维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（其中课程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思政占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%。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期末论文</w:t>
            </w:r>
          </w:p>
        </w:tc>
        <w:tc>
          <w:tcPr>
            <w:tcW w:w="159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期末总结性论文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课程目标</w:t>
            </w:r>
            <w:r>
              <w:rPr>
                <w:rFonts w:asci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根据期末总结性论文的质量，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注重个人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修养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、职业道德提升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,鼓励跨学科、多视角分析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。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（其中课程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思政占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%。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25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</w:tr>
    </w:tbl>
    <w:p>
      <w:pPr>
        <w:pStyle w:val="13"/>
        <w:snapToGrid w:val="0"/>
        <w:spacing w:before="120" w:after="120"/>
        <w:ind w:firstLine="482" w:firstLineChars="2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七、教学资源</w:t>
      </w:r>
    </w:p>
    <w:p>
      <w:pPr>
        <w:pStyle w:val="13"/>
        <w:snapToGrid w:val="0"/>
        <w:spacing w:before="120" w:after="120"/>
        <w:ind w:firstLine="361" w:firstLineChars="200"/>
        <w:jc w:val="center"/>
        <w:rPr>
          <w:rFonts w:cs="宋体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ascii="宋体" w:hAnsi="宋体"/>
          <w:sz w:val="18"/>
          <w:szCs w:val="18"/>
        </w:rPr>
        <w:t>5</w:t>
      </w:r>
      <w:r>
        <w:rPr>
          <w:rFonts w:hint="eastAsia" w:ascii="宋体" w:hAnsi="宋体"/>
          <w:sz w:val="18"/>
          <w:szCs w:val="18"/>
        </w:rPr>
        <w:t>本课程的基本教学资源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1" w:type="dxa"/>
          </w:tcPr>
          <w:p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eastAsia="黑体"/>
                <w:b/>
                <w:sz w:val="18"/>
                <w:szCs w:val="18"/>
              </w:rPr>
              <w:t>资源类型</w:t>
            </w:r>
          </w:p>
        </w:tc>
        <w:tc>
          <w:tcPr>
            <w:tcW w:w="7331" w:type="dxa"/>
          </w:tcPr>
          <w:p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eastAsia="黑体"/>
                <w:b/>
                <w:sz w:val="18"/>
                <w:szCs w:val="18"/>
              </w:rPr>
              <w:t>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1" w:type="dxa"/>
          </w:tcPr>
          <w:p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教材</w:t>
            </w:r>
          </w:p>
        </w:tc>
        <w:tc>
          <w:tcPr>
            <w:tcW w:w="7331" w:type="dxa"/>
          </w:tcPr>
          <w:p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1" w:type="dxa"/>
          </w:tcPr>
          <w:p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参考书籍</w:t>
            </w:r>
          </w:p>
        </w:tc>
        <w:tc>
          <w:tcPr>
            <w:tcW w:w="7331" w:type="dxa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、《世界历史名人的真实死因》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德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汉斯·班克尔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著，上海社会科学出版社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2002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、《为古今名人会诊：点评古今名人的病与死》李定国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主编，湖北科学技术出版社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2015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、《名人死亡档案》孙友亮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主编，青岛出版社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2006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、《病夫治国》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法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皮埃尔·阿考斯，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瑞士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皮埃尔·朗契尼克。华东师范大学出版社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、《历史课本中没写出的隐情》谭健锹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著，现代出版社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2015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、《爱因斯坦传》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德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于尔根·奈佛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著，中央编译出版社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、《马克思传》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英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]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戴维·麦克莱伦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著，治国人民大学出版社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2016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、《成为乔布斯》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美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fldChar w:fldCharType="begin"/>
            </w:r>
            <w:r>
              <w:instrText xml:space="preserve"> HYPERLINK "http://search.dangdang.com/?key2=%B2%BC%C2%D7%CC%D8&amp;medium=01&amp;category_path=01.00.00.00.00.00"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布伦特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·</w:t>
            </w:r>
            <w:r>
              <w:fldChar w:fldCharType="begin"/>
            </w:r>
            <w:r>
              <w:instrText xml:space="preserve"> HYPERLINK "http://search.dangdang.com/?key2=%CA%A9%C0%BC%B5%C2&amp;medium=01&amp;category_path=01.00.00.00.00.00"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施兰德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fldChar w:fldCharType="begin"/>
            </w:r>
            <w:r>
              <w:instrText xml:space="preserve"> HYPERLINK "http://search.dangdang.com/?key2=%C0%EF%BF%CB&amp;medium=01&amp;category_path=01.00.00.00.00.00"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里克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·</w:t>
            </w:r>
            <w:r>
              <w:fldChar w:fldCharType="begin"/>
            </w:r>
            <w:r>
              <w:instrText xml:space="preserve"> HYPERLINK "http://search.dangdang.com/?key2=%CC%D8%B2%DF%C0%FB&amp;medium=01&amp;category_path=01.00.00.00.00.00"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特策利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</w:t>
            </w:r>
            <w:r>
              <w:fldChar w:fldCharType="begin"/>
            </w:r>
            <w:r>
              <w:instrText xml:space="preserve"> HYPERLINK "http://search.dangdang.com/?key3=%D6%D0%D0%C5%B3%F6%B0%E6%C9%E7&amp;medium=01&amp;category_path=01.00.00.00.00.00"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中信出版社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ascii="宋体" w:cs="宋体"/>
                <w:kern w:val="0"/>
                <w:sz w:val="18"/>
                <w:szCs w:val="18"/>
              </w:rPr>
              <w:t>2016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、《陈寅恪的最后</w:t>
            </w:r>
            <w:r>
              <w:rPr>
                <w:rFonts w:ascii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年：</w:t>
            </w:r>
            <w:r>
              <w:rPr>
                <w:rFonts w:ascii="宋体" w:cs="宋体"/>
                <w:kern w:val="0"/>
                <w:sz w:val="18"/>
                <w:szCs w:val="18"/>
              </w:rPr>
              <w:t>1949—1969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年》</w:t>
            </w:r>
            <w:r>
              <w:fldChar w:fldCharType="begin"/>
            </w:r>
            <w:r>
              <w:instrText xml:space="preserve"> HYPERLINK "http://search.dangdang.com/?key2=%C2%BD%BC%FC%B6%AB&amp;medium=01&amp;category_path=01.00.00.00.00.00"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陆键东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，</w:t>
            </w:r>
            <w:r>
              <w:fldChar w:fldCharType="begin"/>
            </w:r>
            <w:r>
              <w:instrText xml:space="preserve"> HYPERLINK "http://search.dangdang.com/?key3=%C9%FA%BB%EE.%B6%C1%CA%E9.%D0%C2%D6%AA%C8%FD%C1%AA%CA%E9%B5%EA&amp;medium=01&amp;category_path=01.00.00.00.00.00"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生活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读书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新知三联书店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2013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、《人体的故事：进化、健康与疾病》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美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丹尼尔·利伯曼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</w:t>
            </w:r>
            <w:r>
              <w:rPr>
                <w:rFonts w:ascii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浙江人民出版社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2017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11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、《癌症·真相》菠萝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著，清华大学出版社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2015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、《中国医学文化史》（上下册），马伯英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著，上海人民出版社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、《西医文化史》，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瑞士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亨利·</w:t>
            </w:r>
            <w:r>
              <w:rPr>
                <w:rFonts w:ascii="宋体" w:cs="宋体"/>
                <w:kern w:val="0"/>
                <w:sz w:val="18"/>
                <w:szCs w:val="18"/>
              </w:rPr>
              <w:t>E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·西格里斯特博士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著，海南出版社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2012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、《生命科学史》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美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洛伊斯·</w:t>
            </w:r>
            <w:r>
              <w:rPr>
                <w:rFonts w:ascii="宋体" w:cs="宋体"/>
                <w:kern w:val="0"/>
                <w:sz w:val="18"/>
                <w:szCs w:val="18"/>
              </w:rPr>
              <w:t>N.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玛格纳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著，上海人民出版社出版社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2012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、《黄帝内经》姚春鹏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译注，中华书局</w:t>
            </w:r>
            <w:r>
              <w:rPr>
                <w:rFonts w:ascii="宋体" w:cs="宋体"/>
                <w:kern w:val="0"/>
                <w:sz w:val="18"/>
                <w:szCs w:val="18"/>
              </w:rPr>
              <w:t>2009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16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、《希波克拉底文集》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古希腊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希波克拉底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原著，赵洪钧等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译，中国中医药出版社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2007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17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、《剑桥世界人类疾病史》肯尼思·</w:t>
            </w:r>
            <w:r>
              <w:rPr>
                <w:rFonts w:ascii="宋体" w:cs="宋体"/>
                <w:kern w:val="0"/>
                <w:sz w:val="18"/>
                <w:szCs w:val="18"/>
              </w:rPr>
              <w:t>F.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基普尔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主编，上海科技教育出版社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2007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、《医学之书》</w:t>
            </w:r>
            <w:r>
              <w:rPr>
                <w:rFonts w:ascii="宋体" w:cs="宋体"/>
                <w:kern w:val="0"/>
                <w:sz w:val="18"/>
                <w:szCs w:val="18"/>
              </w:rPr>
              <w:t>[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美</w:t>
            </w:r>
            <w:r>
              <w:rPr>
                <w:rFonts w:ascii="宋体" w:cs="宋体"/>
                <w:kern w:val="0"/>
                <w:sz w:val="18"/>
                <w:szCs w:val="18"/>
              </w:rPr>
              <w:t>]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克利福德·皮寇弗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著，重庆大学出版社</w:t>
            </w:r>
            <w:r>
              <w:rPr>
                <w:rFonts w:ascii="宋体" w:cs="宋体"/>
                <w:kern w:val="0"/>
                <w:sz w:val="18"/>
                <w:szCs w:val="18"/>
              </w:rPr>
              <w:t>2020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年版。</w:t>
            </w:r>
          </w:p>
          <w:p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1" w:type="dxa"/>
          </w:tcPr>
          <w:p>
            <w:pPr>
              <w:spacing w:before="100" w:beforeAutospacing="1" w:line="32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教学文档</w:t>
            </w:r>
          </w:p>
        </w:tc>
        <w:tc>
          <w:tcPr>
            <w:tcW w:w="7331" w:type="dxa"/>
          </w:tcPr>
          <w:p>
            <w:pPr>
              <w:spacing w:line="320" w:lineRule="exact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学生成绩登记册，考查试卷</w:t>
            </w:r>
          </w:p>
        </w:tc>
      </w:tr>
    </w:tbl>
    <w:p>
      <w:pPr>
        <w:pStyle w:val="13"/>
        <w:spacing w:before="120" w:after="120"/>
        <w:ind w:firstLine="482" w:firstLineChars="2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八、编制与审核</w:t>
      </w:r>
    </w:p>
    <w:p>
      <w:pPr>
        <w:snapToGrid w:val="0"/>
        <w:spacing w:line="32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表</w:t>
      </w:r>
      <w:r>
        <w:rPr>
          <w:rFonts w:ascii="宋体" w:hAnsi="宋体"/>
          <w:b/>
          <w:sz w:val="18"/>
          <w:szCs w:val="18"/>
        </w:rPr>
        <w:t xml:space="preserve">6 </w:t>
      </w:r>
      <w:r>
        <w:rPr>
          <w:rFonts w:hint="eastAsia" w:ascii="宋体" w:hAnsi="宋体"/>
          <w:b/>
          <w:sz w:val="18"/>
          <w:szCs w:val="18"/>
        </w:rPr>
        <w:t>编制与审核信息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480"/>
        <w:gridCol w:w="1529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2" w:type="dxa"/>
          </w:tcPr>
          <w:p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工作内容</w:t>
            </w:r>
          </w:p>
        </w:tc>
        <w:tc>
          <w:tcPr>
            <w:tcW w:w="3480" w:type="dxa"/>
          </w:tcPr>
          <w:p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责任部门或机构</w:t>
            </w:r>
          </w:p>
        </w:tc>
        <w:tc>
          <w:tcPr>
            <w:tcW w:w="1529" w:type="dxa"/>
          </w:tcPr>
          <w:p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负责人</w:t>
            </w:r>
          </w:p>
        </w:tc>
        <w:tc>
          <w:tcPr>
            <w:tcW w:w="2001" w:type="dxa"/>
          </w:tcPr>
          <w:p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2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编制</w:t>
            </w:r>
          </w:p>
        </w:tc>
        <w:tc>
          <w:tcPr>
            <w:tcW w:w="348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马克思主义学院原理教研室</w:t>
            </w:r>
          </w:p>
        </w:tc>
        <w:tc>
          <w:tcPr>
            <w:tcW w:w="1529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张永忠</w:t>
            </w:r>
          </w:p>
        </w:tc>
        <w:tc>
          <w:tcPr>
            <w:tcW w:w="2001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2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348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马克思主义学院原理教研室</w:t>
            </w:r>
          </w:p>
        </w:tc>
        <w:tc>
          <w:tcPr>
            <w:tcW w:w="1529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戚陈炯</w:t>
            </w:r>
          </w:p>
        </w:tc>
        <w:tc>
          <w:tcPr>
            <w:tcW w:w="2001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</w:tr>
    </w:tbl>
    <w:p>
      <w:pPr>
        <w:spacing w:line="320" w:lineRule="exact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136C"/>
    <w:rsid w:val="0007021F"/>
    <w:rsid w:val="000715B2"/>
    <w:rsid w:val="000A3F31"/>
    <w:rsid w:val="000B5E53"/>
    <w:rsid w:val="000C4065"/>
    <w:rsid w:val="000C7A03"/>
    <w:rsid w:val="001101F4"/>
    <w:rsid w:val="00133683"/>
    <w:rsid w:val="00147C9E"/>
    <w:rsid w:val="00186160"/>
    <w:rsid w:val="001C34FD"/>
    <w:rsid w:val="001D697A"/>
    <w:rsid w:val="001F3073"/>
    <w:rsid w:val="001F5359"/>
    <w:rsid w:val="002105F4"/>
    <w:rsid w:val="00230AB8"/>
    <w:rsid w:val="002359A3"/>
    <w:rsid w:val="0024396D"/>
    <w:rsid w:val="00261DF6"/>
    <w:rsid w:val="0027572D"/>
    <w:rsid w:val="00276F5B"/>
    <w:rsid w:val="00295137"/>
    <w:rsid w:val="002D7BD4"/>
    <w:rsid w:val="00310648"/>
    <w:rsid w:val="00341535"/>
    <w:rsid w:val="00380EEB"/>
    <w:rsid w:val="003D585D"/>
    <w:rsid w:val="003E43D5"/>
    <w:rsid w:val="00427D17"/>
    <w:rsid w:val="00430B8A"/>
    <w:rsid w:val="00435A3E"/>
    <w:rsid w:val="0046492C"/>
    <w:rsid w:val="00495994"/>
    <w:rsid w:val="00513771"/>
    <w:rsid w:val="005278BB"/>
    <w:rsid w:val="00531BE1"/>
    <w:rsid w:val="005340E4"/>
    <w:rsid w:val="005377CB"/>
    <w:rsid w:val="005406A8"/>
    <w:rsid w:val="00545E19"/>
    <w:rsid w:val="00553B2D"/>
    <w:rsid w:val="00583D42"/>
    <w:rsid w:val="005E62D0"/>
    <w:rsid w:val="006012B6"/>
    <w:rsid w:val="00602A73"/>
    <w:rsid w:val="00607A32"/>
    <w:rsid w:val="00616FCF"/>
    <w:rsid w:val="006921ED"/>
    <w:rsid w:val="006B7A1A"/>
    <w:rsid w:val="006C46E8"/>
    <w:rsid w:val="006C55B1"/>
    <w:rsid w:val="006F0F55"/>
    <w:rsid w:val="006F6896"/>
    <w:rsid w:val="007051B5"/>
    <w:rsid w:val="00717E24"/>
    <w:rsid w:val="00743E04"/>
    <w:rsid w:val="0075432F"/>
    <w:rsid w:val="007D6678"/>
    <w:rsid w:val="0081052F"/>
    <w:rsid w:val="00827633"/>
    <w:rsid w:val="00832255"/>
    <w:rsid w:val="00894767"/>
    <w:rsid w:val="008C6AC2"/>
    <w:rsid w:val="00903765"/>
    <w:rsid w:val="0090433F"/>
    <w:rsid w:val="00921921"/>
    <w:rsid w:val="00946053"/>
    <w:rsid w:val="00964BD2"/>
    <w:rsid w:val="00984F56"/>
    <w:rsid w:val="009940AE"/>
    <w:rsid w:val="009A72E6"/>
    <w:rsid w:val="009D2DC3"/>
    <w:rsid w:val="00A02122"/>
    <w:rsid w:val="00A046FD"/>
    <w:rsid w:val="00A23B18"/>
    <w:rsid w:val="00A2625B"/>
    <w:rsid w:val="00A51424"/>
    <w:rsid w:val="00A51899"/>
    <w:rsid w:val="00A67D31"/>
    <w:rsid w:val="00AB75FB"/>
    <w:rsid w:val="00B1498A"/>
    <w:rsid w:val="00B2652D"/>
    <w:rsid w:val="00B40323"/>
    <w:rsid w:val="00B75050"/>
    <w:rsid w:val="00B771FE"/>
    <w:rsid w:val="00B779BA"/>
    <w:rsid w:val="00B91A98"/>
    <w:rsid w:val="00BA3CA6"/>
    <w:rsid w:val="00BC6EDC"/>
    <w:rsid w:val="00C1136C"/>
    <w:rsid w:val="00C57ADC"/>
    <w:rsid w:val="00C62950"/>
    <w:rsid w:val="00C84B76"/>
    <w:rsid w:val="00C84D3C"/>
    <w:rsid w:val="00C95B95"/>
    <w:rsid w:val="00CC2E24"/>
    <w:rsid w:val="00CE3648"/>
    <w:rsid w:val="00D71F10"/>
    <w:rsid w:val="00D73A5C"/>
    <w:rsid w:val="00D77618"/>
    <w:rsid w:val="00DB3B7F"/>
    <w:rsid w:val="00DC616C"/>
    <w:rsid w:val="00DF0977"/>
    <w:rsid w:val="00E161E2"/>
    <w:rsid w:val="00E411C9"/>
    <w:rsid w:val="00E468B9"/>
    <w:rsid w:val="00E51600"/>
    <w:rsid w:val="00EB023F"/>
    <w:rsid w:val="00EB18EE"/>
    <w:rsid w:val="00EC7434"/>
    <w:rsid w:val="00EF31A0"/>
    <w:rsid w:val="00F30718"/>
    <w:rsid w:val="00F841E7"/>
    <w:rsid w:val="00FB0AA9"/>
    <w:rsid w:val="00FD7362"/>
    <w:rsid w:val="01E04BDC"/>
    <w:rsid w:val="21D45221"/>
    <w:rsid w:val="275B4F7E"/>
    <w:rsid w:val="338921E6"/>
    <w:rsid w:val="35F67575"/>
    <w:rsid w:val="36AA4085"/>
    <w:rsid w:val="51751F37"/>
    <w:rsid w:val="550D6037"/>
    <w:rsid w:val="62915B31"/>
    <w:rsid w:val="7B0A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kern w:val="36"/>
      <w:sz w:val="48"/>
      <w:szCs w:val="20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4">
    <w:name w:val="header"/>
    <w:basedOn w:val="1"/>
    <w:link w:val="1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styleId="7">
    <w:name w:val="Hyperlink"/>
    <w:basedOn w:val="6"/>
    <w:uiPriority w:val="99"/>
    <w:rPr>
      <w:rFonts w:cs="Times New Roman"/>
      <w:color w:val="0000FF"/>
      <w:u w:val="single"/>
    </w:rPr>
  </w:style>
  <w:style w:type="character" w:customStyle="1" w:styleId="8">
    <w:name w:val="Heading 1 Char"/>
    <w:basedOn w:val="6"/>
    <w:link w:val="2"/>
    <w:locked/>
    <w:uiPriority w:val="99"/>
    <w:rPr>
      <w:rFonts w:ascii="宋体" w:hAnsi="宋体" w:eastAsia="宋体" w:cs="Times New Roman"/>
      <w:b/>
      <w:kern w:val="36"/>
      <w:sz w:val="48"/>
    </w:rPr>
  </w:style>
  <w:style w:type="character" w:customStyle="1" w:styleId="9">
    <w:name w:val="Plain Text Char2"/>
    <w:link w:val="10"/>
    <w:locked/>
    <w:uiPriority w:val="99"/>
    <w:rPr>
      <w:rFonts w:ascii="宋体" w:hAnsi="Courier New"/>
      <w:sz w:val="21"/>
    </w:rPr>
  </w:style>
  <w:style w:type="paragraph" w:customStyle="1" w:styleId="10">
    <w:name w:val="纯文本1"/>
    <w:basedOn w:val="1"/>
    <w:link w:val="9"/>
    <w:uiPriority w:val="99"/>
    <w:pPr>
      <w:ind w:firstLine="200" w:firstLineChars="200"/>
    </w:pPr>
    <w:rPr>
      <w:rFonts w:ascii="宋体" w:hAnsi="Courier New"/>
      <w:kern w:val="0"/>
      <w:szCs w:val="20"/>
    </w:rPr>
  </w:style>
  <w:style w:type="character" w:customStyle="1" w:styleId="11">
    <w:name w:val="正文宋5左 Char Char"/>
    <w:link w:val="12"/>
    <w:locked/>
    <w:uiPriority w:val="99"/>
    <w:rPr>
      <w:rFonts w:ascii="宋体" w:eastAsia="宋体"/>
      <w:sz w:val="21"/>
    </w:rPr>
  </w:style>
  <w:style w:type="paragraph" w:customStyle="1" w:styleId="12">
    <w:name w:val="正文宋5左"/>
    <w:basedOn w:val="1"/>
    <w:link w:val="11"/>
    <w:uiPriority w:val="99"/>
    <w:pPr>
      <w:spacing w:line="360" w:lineRule="exact"/>
      <w:ind w:firstLine="200" w:firstLineChars="200"/>
      <w:jc w:val="left"/>
    </w:pPr>
    <w:rPr>
      <w:rFonts w:ascii="宋体" w:hAnsi="Calibri"/>
      <w:kern w:val="0"/>
      <w:szCs w:val="20"/>
    </w:rPr>
  </w:style>
  <w:style w:type="paragraph" w:customStyle="1" w:styleId="13">
    <w:name w:val="正文宋5加粗顶格"/>
    <w:basedOn w:val="1"/>
    <w:uiPriority w:val="99"/>
    <w:pPr>
      <w:spacing w:line="400" w:lineRule="exact"/>
    </w:pPr>
    <w:rPr>
      <w:b/>
      <w:bCs/>
      <w:szCs w:val="21"/>
    </w:rPr>
  </w:style>
  <w:style w:type="paragraph" w:customStyle="1" w:styleId="14">
    <w:name w:val="在表格内文字"/>
    <w:basedOn w:val="1"/>
    <w:uiPriority w:val="99"/>
    <w:rPr>
      <w:rFonts w:eastAsia="楷体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标题3居中"/>
    <w:basedOn w:val="1"/>
    <w:uiPriority w:val="99"/>
    <w:pPr>
      <w:adjustRightInd w:val="0"/>
      <w:snapToGrid w:val="0"/>
      <w:spacing w:beforeLines="100" w:afterLines="100"/>
      <w:jc w:val="center"/>
      <w:outlineLvl w:val="2"/>
    </w:pPr>
    <w:rPr>
      <w:rFonts w:ascii="宋体" w:hAnsi="宋体" w:cs="宋体"/>
      <w:b/>
      <w:bCs/>
      <w:kern w:val="0"/>
      <w:sz w:val="32"/>
      <w:szCs w:val="32"/>
    </w:rPr>
  </w:style>
  <w:style w:type="character" w:customStyle="1" w:styleId="17">
    <w:name w:val="Header Char"/>
    <w:basedOn w:val="6"/>
    <w:link w:val="4"/>
    <w:semiHidden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8">
    <w:name w:val="Footer Char"/>
    <w:basedOn w:val="6"/>
    <w:link w:val="3"/>
    <w:locked/>
    <w:uiPriority w:val="99"/>
    <w:rPr>
      <w:rFonts w:ascii="Times New Roman" w:hAnsi="Times New Roman" w:eastAsia="宋体" w:cs="Times New Roman"/>
      <w:sz w:val="18"/>
    </w:rPr>
  </w:style>
  <w:style w:type="paragraph" w:customStyle="1" w:styleId="19">
    <w:name w:val="列出段落1"/>
    <w:basedOn w:val="1"/>
    <w:lock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10</Pages>
  <Words>1337</Words>
  <Characters>7624</Characters>
  <Lines>0</Lines>
  <Paragraphs>0</Paragraphs>
  <TotalTime>6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2019-11-27T03:20:00Z</dcterms:created>
  <dc:creator>Administrator</dc:creator>
  <cp:lastModifiedBy>天涯击浪</cp:lastModifiedBy>
  <dcterms:modified xsi:type="dcterms:W3CDTF">2021-11-27T12:02:25Z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10D8989D06B04005A4A556A550098B7B</vt:lpwstr>
  </property>
</Properties>
</file>