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cs="方正小标宋简体"/>
          <w:sz w:val="36"/>
          <w:szCs w:val="36"/>
        </w:rPr>
        <w:t>国家“万人计划”教学名师（高等学校）</w:t>
      </w:r>
    </w:p>
    <w:p>
      <w:pPr>
        <w:spacing w:line="480" w:lineRule="exact"/>
        <w:jc w:val="center"/>
        <w:rPr>
          <w:rFonts w:ascii="方正小标宋简体" w:hAnsi="方正小标宋简体" w:eastAsia="方正小标宋简体"/>
          <w:spacing w:val="40"/>
          <w:sz w:val="36"/>
          <w:szCs w:val="36"/>
        </w:rPr>
      </w:pPr>
      <w:r>
        <w:rPr>
          <w:rFonts w:hint="eastAsia" w:ascii="方正小标宋简体" w:hAnsi="方正小标宋简体" w:eastAsia="方正小标宋简体" w:cs="方正小标宋简体"/>
          <w:spacing w:val="40"/>
          <w:sz w:val="36"/>
          <w:szCs w:val="36"/>
        </w:rPr>
        <w:t>遴选指标体系</w:t>
      </w:r>
    </w:p>
    <w:p>
      <w:pPr>
        <w:jc w:val="center"/>
        <w:rPr>
          <w:rFonts w:ascii="方正仿宋简体" w:hAnsi="宋体" w:eastAsia="方正仿宋简体"/>
          <w:b/>
          <w:bCs/>
          <w:sz w:val="30"/>
          <w:szCs w:val="30"/>
        </w:rPr>
      </w:pPr>
      <w:r>
        <w:rPr>
          <w:rFonts w:hint="eastAsia" w:ascii="方正仿宋简体" w:hAnsi="宋体" w:eastAsia="方正仿宋简体" w:cs="方正仿宋简体"/>
          <w:b/>
          <w:bCs/>
          <w:sz w:val="30"/>
          <w:szCs w:val="30"/>
        </w:rPr>
        <w:t>（普通本科院校）</w:t>
      </w:r>
    </w:p>
    <w:tbl>
      <w:tblPr>
        <w:tblStyle w:val="5"/>
        <w:tblW w:w="9047"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92"/>
        <w:gridCol w:w="1280"/>
        <w:gridCol w:w="709"/>
        <w:gridCol w:w="62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2072" w:type="dxa"/>
            <w:gridSpan w:val="2"/>
            <w:vMerge w:val="restart"/>
            <w:tcBorders>
              <w:top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b/>
                <w:bCs/>
                <w:sz w:val="24"/>
              </w:rPr>
            </w:pPr>
            <w:r>
              <w:rPr>
                <w:rFonts w:ascii="Times New Roman" w:hAnsi="Times New Roman" w:eastAsia="仿宋_GB2312"/>
                <w:b/>
                <w:bCs/>
                <w:sz w:val="24"/>
              </w:rPr>
              <w:t>遴选项目</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b/>
                <w:bCs/>
                <w:sz w:val="24"/>
              </w:rPr>
            </w:pPr>
            <w:r>
              <w:rPr>
                <w:rFonts w:ascii="Times New Roman" w:hAnsi="Times New Roman" w:eastAsia="仿宋_GB2312"/>
                <w:b/>
                <w:bCs/>
                <w:sz w:val="24"/>
              </w:rPr>
              <w:t>分值</w:t>
            </w:r>
          </w:p>
        </w:tc>
        <w:tc>
          <w:tcPr>
            <w:tcW w:w="6266" w:type="dxa"/>
            <w:vMerge w:val="restart"/>
            <w:tcBorders>
              <w:top w:val="single" w:color="auto" w:sz="4" w:space="0"/>
              <w:left w:val="single" w:color="auto" w:sz="4" w:space="0"/>
              <w:bottom w:val="single" w:color="auto" w:sz="4" w:space="0"/>
            </w:tcBorders>
            <w:vAlign w:val="center"/>
          </w:tcPr>
          <w:p>
            <w:pPr>
              <w:spacing w:line="320" w:lineRule="exact"/>
              <w:jc w:val="center"/>
              <w:rPr>
                <w:rFonts w:ascii="Times New Roman" w:hAnsi="Times New Roman" w:eastAsia="仿宋_GB2312"/>
                <w:b/>
                <w:bCs/>
                <w:sz w:val="24"/>
              </w:rPr>
            </w:pPr>
            <w:r>
              <w:rPr>
                <w:rFonts w:ascii="Times New Roman" w:hAnsi="Times New Roman" w:eastAsia="仿宋_GB2312"/>
                <w:b/>
                <w:bCs/>
                <w:sz w:val="24"/>
              </w:rPr>
              <w:t>遴选内容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20" w:hRule="atLeast"/>
          <w:jc w:val="center"/>
        </w:trPr>
        <w:tc>
          <w:tcPr>
            <w:tcW w:w="2072" w:type="dxa"/>
            <w:gridSpan w:val="2"/>
            <w:vMerge w:val="continue"/>
            <w:tcBorders>
              <w:top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eastAsia="仿宋_GB2312"/>
                <w:b/>
                <w:bCs/>
                <w:sz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eastAsia="仿宋_GB2312"/>
                <w:b/>
                <w:bCs/>
                <w:sz w:val="24"/>
              </w:rPr>
            </w:pPr>
          </w:p>
        </w:tc>
        <w:tc>
          <w:tcPr>
            <w:tcW w:w="6266" w:type="dxa"/>
            <w:vMerge w:val="continue"/>
            <w:tcBorders>
              <w:top w:val="single" w:color="auto" w:sz="4" w:space="0"/>
              <w:left w:val="single" w:color="auto" w:sz="4" w:space="0"/>
              <w:bottom w:val="single" w:color="auto" w:sz="4" w:space="0"/>
            </w:tcBorders>
            <w:vAlign w:val="center"/>
          </w:tcPr>
          <w:p>
            <w:pPr>
              <w:widowControl/>
              <w:spacing w:line="320" w:lineRule="exact"/>
              <w:jc w:val="left"/>
              <w:rPr>
                <w:rFonts w:ascii="Times New Roman" w:hAnsi="Times New Roman" w:eastAsia="仿宋_GB2312"/>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61" w:hRule="atLeast"/>
          <w:jc w:val="center"/>
        </w:trPr>
        <w:tc>
          <w:tcPr>
            <w:tcW w:w="2072" w:type="dxa"/>
            <w:gridSpan w:val="2"/>
            <w:tcBorders>
              <w:top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1.师德风范</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20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忠诚于党和人民的教育事业，全面贯彻党的教育方针，有理想信念、有道德情操、有扎实学识、有仁爱之心，自觉做学生锤炼品格、学习知识、创新思维、奉献祖国的引路人，坚持教书和育人相统一、言传和身教相统一、潜心问道和关注社会相统一、学术自由和学术规范相统一，以德立身、以德立学、以德立教，为人师表、师德高尚，在教育领域和全社会享有较高声望，师生群众公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95" w:hRule="atLeast"/>
          <w:jc w:val="center"/>
        </w:trPr>
        <w:tc>
          <w:tcPr>
            <w:tcW w:w="792" w:type="dxa"/>
            <w:vMerge w:val="restart"/>
            <w:tcBorders>
              <w:top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仿宋_GB2312"/>
                <w:sz w:val="24"/>
              </w:rPr>
            </w:pPr>
            <w:r>
              <w:rPr>
                <w:rFonts w:ascii="Times New Roman" w:hAnsi="Times New Roman" w:eastAsia="仿宋_GB2312"/>
                <w:sz w:val="24"/>
              </w:rPr>
              <w:t>2.</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教</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学</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能</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力</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与</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水</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平</w:t>
            </w: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教学思想与内容</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遵循教育规律和人才成长规律，教育理念先进，具有国际视野。教学内容符合大学生认知特点，理论联系实际，能及时把学科最新发展和国内外教改成果转化为教学资源。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71" w:hRule="atLeast"/>
          <w:jc w:val="center"/>
        </w:trPr>
        <w:tc>
          <w:tcPr>
            <w:tcW w:w="792" w:type="dxa"/>
            <w:vMerge w:val="continue"/>
            <w:tcBorders>
              <w:top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仿宋_GB2312"/>
                <w:sz w:val="24"/>
              </w:rPr>
            </w:pP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教学艺术与方法</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教学艺术精湛，注重学思结合、知行统一、因材施教，积极开展启发式、探究式、讨论式、参与式教学，激发和鼓励学生的创造思维。有效应用现代信息技术。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523" w:hRule="atLeast"/>
          <w:jc w:val="center"/>
        </w:trPr>
        <w:tc>
          <w:tcPr>
            <w:tcW w:w="792" w:type="dxa"/>
            <w:vMerge w:val="continue"/>
            <w:tcBorders>
              <w:top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仿宋_GB2312"/>
                <w:sz w:val="24"/>
              </w:rPr>
            </w:pP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教学改革与成就</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15</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重视教育教学研究，主持完成重要教改项目，在教育思想、教学内容、教学方法等方面取得创造性成果，并广泛应用于教育教学实践，发表过多篇高质量的教改教研论文或出版过有一定影响的教改教研专著。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59" w:hRule="atLeast"/>
          <w:jc w:val="center"/>
        </w:trPr>
        <w:tc>
          <w:tcPr>
            <w:tcW w:w="792" w:type="dxa"/>
            <w:vMerge w:val="continue"/>
            <w:tcBorders>
              <w:top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仿宋_GB2312"/>
                <w:sz w:val="24"/>
              </w:rPr>
            </w:pP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教学</w:t>
            </w:r>
          </w:p>
          <w:p>
            <w:pPr>
              <w:spacing w:line="300" w:lineRule="exact"/>
              <w:jc w:val="center"/>
              <w:rPr>
                <w:rFonts w:ascii="Times New Roman" w:hAnsi="Times New Roman" w:eastAsia="仿宋_GB2312"/>
                <w:sz w:val="24"/>
              </w:rPr>
            </w:pPr>
            <w:r>
              <w:rPr>
                <w:rFonts w:ascii="Times New Roman" w:hAnsi="Times New Roman" w:eastAsia="仿宋_GB2312"/>
                <w:sz w:val="24"/>
              </w:rPr>
              <w:t>效果</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教学能力突出，教学风格鲜明，教学质量优异，主讲课程达到国内同类课程领先水平，大学生评价优秀，得到同行公认，具有示范引领作用，在全国有较大影响。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92" w:hRule="atLeast"/>
          <w:jc w:val="center"/>
        </w:trPr>
        <w:tc>
          <w:tcPr>
            <w:tcW w:w="792" w:type="dxa"/>
            <w:vMerge w:val="continue"/>
            <w:tcBorders>
              <w:top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仿宋_GB2312"/>
                <w:sz w:val="24"/>
              </w:rPr>
            </w:pP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教材</w:t>
            </w:r>
          </w:p>
          <w:p>
            <w:pPr>
              <w:spacing w:line="300" w:lineRule="exact"/>
              <w:jc w:val="center"/>
              <w:rPr>
                <w:rFonts w:ascii="Times New Roman" w:hAnsi="Times New Roman" w:eastAsia="仿宋_GB2312"/>
                <w:sz w:val="24"/>
              </w:rPr>
            </w:pPr>
            <w:r>
              <w:rPr>
                <w:rFonts w:ascii="Times New Roman" w:hAnsi="Times New Roman" w:eastAsia="仿宋_GB2312"/>
                <w:sz w:val="24"/>
              </w:rPr>
              <w:t>建设</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自编、主编的本科教材，质量高、有特色、版本新。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68" w:hRule="atLeast"/>
          <w:jc w:val="center"/>
        </w:trPr>
        <w:tc>
          <w:tcPr>
            <w:tcW w:w="2072" w:type="dxa"/>
            <w:gridSpan w:val="2"/>
            <w:tcBorders>
              <w:top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3.教学梯队建设与贡献</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15</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领衔高水平教学科研团队，自觉指导和帮助团队教师提高业务水平和教学能力，对确立本校该领域教学的历史地位作出重要贡献。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307" w:hRule="atLeast"/>
          <w:jc w:val="center"/>
        </w:trPr>
        <w:tc>
          <w:tcPr>
            <w:tcW w:w="2072" w:type="dxa"/>
            <w:gridSpan w:val="2"/>
            <w:tcBorders>
              <w:right w:val="single" w:color="auto" w:sz="4" w:space="0"/>
            </w:tcBorders>
            <w:vAlign w:val="center"/>
          </w:tcPr>
          <w:p>
            <w:pPr>
              <w:widowControl/>
              <w:spacing w:line="300" w:lineRule="exact"/>
              <w:ind w:right="-105" w:rightChars="-50"/>
              <w:jc w:val="center"/>
              <w:rPr>
                <w:rFonts w:ascii="Times New Roman" w:hAnsi="Times New Roman" w:eastAsia="仿宋_GB2312"/>
                <w:sz w:val="24"/>
              </w:rPr>
            </w:pPr>
            <w:r>
              <w:rPr>
                <w:rFonts w:ascii="Times New Roman" w:hAnsi="Times New Roman" w:eastAsia="仿宋_GB2312"/>
                <w:sz w:val="24"/>
              </w:rPr>
              <w:t>4.科学研究与学术水平</w:t>
            </w:r>
          </w:p>
        </w:tc>
        <w:tc>
          <w:tcPr>
            <w:tcW w:w="709" w:type="dxa"/>
            <w:tcBorders>
              <w:top w:val="single" w:color="auto" w:sz="4" w:space="0"/>
              <w:left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tcBorders>
            <w:vAlign w:val="center"/>
          </w:tcPr>
          <w:p>
            <w:pPr>
              <w:spacing w:line="300" w:lineRule="exact"/>
              <w:rPr>
                <w:rFonts w:ascii="Times New Roman" w:hAnsi="Times New Roman" w:eastAsia="仿宋_GB2312"/>
                <w:kern w:val="13"/>
                <w:sz w:val="24"/>
              </w:rPr>
            </w:pPr>
            <w:r>
              <w:rPr>
                <w:rFonts w:ascii="Times New Roman" w:hAnsi="Times New Roman" w:eastAsia="仿宋_GB2312"/>
                <w:sz w:val="24"/>
              </w:rPr>
              <w:t>主持或承担重要科研项目，发表出版高质量的论文或专著，</w:t>
            </w:r>
            <w:r>
              <w:rPr>
                <w:rFonts w:ascii="Times New Roman" w:hAnsi="Times New Roman" w:eastAsia="仿宋_GB2312"/>
                <w:kern w:val="13"/>
                <w:sz w:val="24"/>
              </w:rPr>
              <w:t>在国内外同领域具有较高学术地位和知名度</w:t>
            </w:r>
            <w:r>
              <w:rPr>
                <w:rFonts w:ascii="Times New Roman" w:hAnsi="Times New Roman" w:eastAsia="仿宋_GB2312"/>
                <w:sz w:val="24"/>
              </w:rPr>
              <w:t>。</w:t>
            </w:r>
          </w:p>
        </w:tc>
      </w:tr>
    </w:tbl>
    <w:p>
      <w:pPr>
        <w:spacing w:line="300" w:lineRule="exact"/>
      </w:pPr>
      <w:bookmarkStart w:id="0" w:name="_GoBack"/>
      <w:bookmarkEnd w:id="0"/>
    </w:p>
    <w:sectPr>
      <w:footerReference r:id="rId3" w:type="default"/>
      <w:pgSz w:w="11906" w:h="16838"/>
      <w:pgMar w:top="1440" w:right="1800" w:bottom="1440" w:left="180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990794"/>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742D"/>
    <w:rsid w:val="00057B1A"/>
    <w:rsid w:val="00176358"/>
    <w:rsid w:val="001D742D"/>
    <w:rsid w:val="00234D98"/>
    <w:rsid w:val="002401DB"/>
    <w:rsid w:val="002729E6"/>
    <w:rsid w:val="002F330E"/>
    <w:rsid w:val="00402B75"/>
    <w:rsid w:val="00475DDD"/>
    <w:rsid w:val="004F24E1"/>
    <w:rsid w:val="005868F6"/>
    <w:rsid w:val="00832981"/>
    <w:rsid w:val="009431BE"/>
    <w:rsid w:val="009E440C"/>
    <w:rsid w:val="00A83F65"/>
    <w:rsid w:val="00AD3A8E"/>
    <w:rsid w:val="00B000B8"/>
    <w:rsid w:val="00DE56BE"/>
    <w:rsid w:val="00E40649"/>
    <w:rsid w:val="00E70818"/>
    <w:rsid w:val="00E767FA"/>
    <w:rsid w:val="00EB27A6"/>
    <w:rsid w:val="02D44A0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4"/>
    <w:link w:val="3"/>
    <w:semiHidden/>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573</Words>
  <Characters>3271</Characters>
  <Lines>27</Lines>
  <Paragraphs>7</Paragraphs>
  <TotalTime>0</TotalTime>
  <ScaleCrop>false</ScaleCrop>
  <LinksUpToDate>false</LinksUpToDate>
  <CharactersWithSpaces>3837</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2016-12-29T02:46:00Z</dcterms:created>
  <dc:creator>刘捷波(返回拟稿人)</dc:creator>
  <cp:lastModifiedBy>Administrator</cp:lastModifiedBy>
  <cp:lastPrinted>2016-12-29T03:38:00Z</cp:lastPrinted>
  <dcterms:modified xsi:type="dcterms:W3CDTF">2017-02-23T02:26:03Z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